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ind w:firstLine="1980" w:firstLineChars="45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湘潭市食品药品检验所</w:t>
      </w:r>
    </w:p>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部门整体支出绩效评价报告</w:t>
      </w:r>
    </w:p>
    <w:p>
      <w:pPr>
        <w:widowControl/>
        <w:jc w:val="left"/>
      </w:pPr>
    </w:p>
    <w:tbl>
      <w:tblPr>
        <w:tblStyle w:val="7"/>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6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单位名称</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湘潭市食品药品检验所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年度预算金额</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lang w:val="en-US" w:eastAsia="zh-CN"/>
              </w:rPr>
              <w:t>878.86</w:t>
            </w:r>
            <w:r>
              <w:rPr>
                <w:rFonts w:hint="eastAsia" w:ascii="方正小标宋简体" w:hAnsi="方正小标宋简体" w:eastAsia="方正小标宋简体" w:cs="方正小标宋简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主管部门</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单位基本职能</w:t>
            </w:r>
          </w:p>
        </w:tc>
        <w:tc>
          <w:tcPr>
            <w:tcW w:w="6840" w:type="dxa"/>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1、负责全市生产、流通、餐饮环节食品和药品、医疗器械、药包材、保健食品、化妆品的抽查检验、复验和委托检验等工作。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2、负责开展与食品药品检验检测业务相关的科研工作，做好全市食品药品检验检测部门的业务指导和培训工作，对食品药品生产企业、经营企业及医疗机构进行技术指导。</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3、负责综合上报和反馈生产、流通、餐饮环节食品品、医疗器械、药包材、保健食品、化妆品的质量信息。</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4、负责对有关单位的洁净生产场所、检验室进行空气洁净度测试。</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5、承办市食品药品监督管理主管部门和上级食品药品检验检测机构交办的其他事项。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评价结果</w:t>
            </w:r>
          </w:p>
        </w:tc>
        <w:tc>
          <w:tcPr>
            <w:tcW w:w="6840" w:type="dxa"/>
            <w:vAlign w:val="center"/>
          </w:tcPr>
          <w:p>
            <w:pPr>
              <w:pStyle w:val="6"/>
              <w:spacing w:before="0" w:beforeAutospacing="0" w:after="0" w:afterAutospacing="0"/>
              <w:jc w:val="center"/>
              <w:rPr>
                <w:rFonts w:hAnsi="Arial"/>
                <w:highlight w:val="white"/>
                <w:lang w:val="zh-CN"/>
              </w:rPr>
            </w:pPr>
            <w:r>
              <w:rPr>
                <w:rFonts w:hint="eastAsia" w:hAnsi="Arial"/>
                <w:highlight w:val="white"/>
                <w:lang w:val="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部门整体支出管理和使用基本情况</w:t>
            </w:r>
          </w:p>
        </w:tc>
        <w:tc>
          <w:tcPr>
            <w:tcW w:w="6840" w:type="dxa"/>
            <w:vAlign w:val="center"/>
          </w:tcPr>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一、预算情况</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1、年初预算情况</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（一）全年部门预算总收入</w:t>
            </w:r>
            <w:r>
              <w:rPr>
                <w:rFonts w:hint="eastAsia" w:hAnsi="Arial"/>
                <w:highlight w:val="white"/>
                <w:lang w:val="en-US" w:eastAsia="zh-CN"/>
              </w:rPr>
              <w:t>878.86</w:t>
            </w:r>
            <w:r>
              <w:rPr>
                <w:rFonts w:hint="eastAsia" w:hAnsi="Arial"/>
                <w:highlight w:val="white"/>
                <w:lang w:val="zh-CN"/>
              </w:rPr>
              <w:t>万元，其中一般公共预算财政拨款收入</w:t>
            </w:r>
            <w:r>
              <w:rPr>
                <w:rFonts w:hint="eastAsia" w:hAnsi="Arial"/>
                <w:highlight w:val="white"/>
                <w:lang w:val="en-US" w:eastAsia="zh-CN"/>
              </w:rPr>
              <w:t>878.86</w:t>
            </w:r>
            <w:r>
              <w:rPr>
                <w:rFonts w:hint="eastAsia" w:hAnsi="Arial"/>
                <w:highlight w:val="white"/>
                <w:lang w:val="zh-CN"/>
              </w:rPr>
              <w:t>万元。</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（二）预算基本支出</w:t>
            </w:r>
            <w:r>
              <w:rPr>
                <w:rFonts w:hint="eastAsia" w:hAnsi="Arial"/>
                <w:highlight w:val="white"/>
                <w:lang w:val="en-US" w:eastAsia="zh-CN"/>
              </w:rPr>
              <w:t>600.18</w:t>
            </w:r>
            <w:r>
              <w:rPr>
                <w:rFonts w:hint="eastAsia" w:hAnsi="Arial"/>
                <w:highlight w:val="white"/>
                <w:lang w:val="zh-CN"/>
              </w:rPr>
              <w:t>万元，其中，人员支出</w:t>
            </w:r>
            <w:r>
              <w:rPr>
                <w:rFonts w:hint="eastAsia" w:hAnsi="Arial"/>
                <w:highlight w:val="white"/>
                <w:lang w:val="en-US" w:eastAsia="zh-CN"/>
              </w:rPr>
              <w:t>540.19</w:t>
            </w:r>
            <w:r>
              <w:rPr>
                <w:rFonts w:hint="eastAsia" w:hAnsi="Arial"/>
                <w:highlight w:val="white"/>
                <w:lang w:val="zh-CN"/>
              </w:rPr>
              <w:t>万元，公用支出</w:t>
            </w:r>
            <w:r>
              <w:rPr>
                <w:rFonts w:hint="eastAsia" w:hAnsi="Arial"/>
                <w:highlight w:val="white"/>
                <w:lang w:val="en-US" w:eastAsia="zh-CN"/>
              </w:rPr>
              <w:t>59.99</w:t>
            </w:r>
            <w:r>
              <w:rPr>
                <w:rFonts w:hint="eastAsia" w:hAnsi="Arial"/>
                <w:highlight w:val="white"/>
                <w:lang w:val="zh-CN"/>
              </w:rPr>
              <w:t>万元。</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（三）预算专项支出</w:t>
            </w:r>
            <w:r>
              <w:rPr>
                <w:rFonts w:hint="eastAsia" w:hAnsi="Arial"/>
                <w:highlight w:val="white"/>
                <w:lang w:val="en-US" w:eastAsia="zh-CN"/>
              </w:rPr>
              <w:t>278.68</w:t>
            </w:r>
            <w:r>
              <w:rPr>
                <w:rFonts w:hint="eastAsia" w:hAnsi="Arial"/>
                <w:highlight w:val="white"/>
                <w:lang w:val="zh-CN"/>
              </w:rPr>
              <w:t>万元,来源为财政拨款为以下几个项目:①食品抽验经费33.77万元；②药品抽验经费34.3万元；③仪器设备检测维修经费15万元；④办公事业运行经费</w:t>
            </w:r>
            <w:r>
              <w:rPr>
                <w:rFonts w:hint="eastAsia" w:hAnsi="Arial"/>
                <w:highlight w:val="white"/>
                <w:lang w:val="en-US" w:eastAsia="zh-CN"/>
              </w:rPr>
              <w:t>82.61</w:t>
            </w:r>
            <w:r>
              <w:rPr>
                <w:rFonts w:hint="eastAsia" w:hAnsi="Arial"/>
                <w:highlight w:val="white"/>
                <w:lang w:val="zh-CN"/>
              </w:rPr>
              <w:t>万元；⑤劳务费</w:t>
            </w:r>
            <w:r>
              <w:rPr>
                <w:rFonts w:hint="eastAsia" w:hAnsi="Arial"/>
                <w:highlight w:val="white"/>
                <w:lang w:val="en-US" w:eastAsia="zh-CN"/>
              </w:rPr>
              <w:t>63</w:t>
            </w:r>
            <w:r>
              <w:rPr>
                <w:rFonts w:hint="eastAsia" w:hAnsi="Arial"/>
                <w:highlight w:val="white"/>
                <w:lang w:val="zh-CN"/>
              </w:rPr>
              <w:t>万元；⑥</w:t>
            </w:r>
            <w:r>
              <w:rPr>
                <w:rFonts w:hint="eastAsia"/>
                <w:highlight w:val="white"/>
                <w:lang w:val="zh-CN"/>
              </w:rPr>
              <w:t>药品委托检验费50万元</w:t>
            </w:r>
            <w:r>
              <w:rPr>
                <w:rFonts w:hint="eastAsia" w:hAnsi="Arial"/>
                <w:highlight w:val="white"/>
                <w:lang w:val="zh-CN"/>
              </w:rPr>
              <w:t>。</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 xml:space="preserve">3、全年总预算情况 </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1)、收入总计数为</w:t>
            </w:r>
            <w:r>
              <w:rPr>
                <w:rFonts w:hint="eastAsia" w:hAnsi="Arial"/>
                <w:highlight w:val="white"/>
                <w:lang w:val="en-US" w:eastAsia="zh-CN"/>
              </w:rPr>
              <w:t>1271</w:t>
            </w:r>
            <w:r>
              <w:rPr>
                <w:rFonts w:hint="eastAsia" w:hAnsi="Arial"/>
                <w:highlight w:val="white"/>
                <w:lang w:val="zh-CN"/>
              </w:rPr>
              <w:t>万元，其中：财政拨款</w:t>
            </w:r>
            <w:r>
              <w:rPr>
                <w:rFonts w:hint="eastAsia" w:hAnsi="Arial"/>
                <w:highlight w:val="white"/>
                <w:lang w:val="en-US" w:eastAsia="zh-CN"/>
              </w:rPr>
              <w:t>1168.37</w:t>
            </w:r>
            <w:r>
              <w:rPr>
                <w:rFonts w:hint="eastAsia" w:hAnsi="Arial"/>
                <w:highlight w:val="white"/>
                <w:lang w:val="zh-CN"/>
              </w:rPr>
              <w:t>万元，其他收入</w:t>
            </w:r>
            <w:r>
              <w:rPr>
                <w:rFonts w:hint="eastAsia" w:hAnsi="Arial"/>
                <w:highlight w:val="white"/>
                <w:lang w:val="en-US" w:eastAsia="zh-CN"/>
              </w:rPr>
              <w:t>102.63</w:t>
            </w:r>
            <w:r>
              <w:rPr>
                <w:rFonts w:hint="eastAsia" w:hAnsi="Arial"/>
                <w:highlight w:val="white"/>
                <w:lang w:val="zh-CN"/>
              </w:rPr>
              <w:t>万元；</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2)、支出预算总计数为</w:t>
            </w:r>
            <w:r>
              <w:rPr>
                <w:rFonts w:hint="eastAsia" w:hAnsi="Arial"/>
                <w:highlight w:val="white"/>
                <w:lang w:val="en-US" w:eastAsia="zh-CN"/>
              </w:rPr>
              <w:t>878.86</w:t>
            </w:r>
            <w:r>
              <w:rPr>
                <w:rFonts w:hint="eastAsia" w:hAnsi="Arial"/>
                <w:highlight w:val="white"/>
                <w:lang w:val="zh-CN"/>
              </w:rPr>
              <w:t>万元，其中：基本支出：</w:t>
            </w:r>
            <w:r>
              <w:rPr>
                <w:rFonts w:hint="eastAsia" w:hAnsi="Arial"/>
                <w:highlight w:val="white"/>
                <w:lang w:val="en-US" w:eastAsia="zh-CN"/>
              </w:rPr>
              <w:t>600.18</w:t>
            </w:r>
            <w:r>
              <w:rPr>
                <w:rFonts w:hint="eastAsia" w:hAnsi="Arial"/>
                <w:highlight w:val="white"/>
                <w:lang w:val="zh-CN"/>
              </w:rPr>
              <w:t>万元，其中，人员支出</w:t>
            </w:r>
            <w:r>
              <w:rPr>
                <w:rFonts w:hint="eastAsia" w:hAnsi="Arial"/>
                <w:highlight w:val="white"/>
                <w:lang w:val="en-US" w:eastAsia="zh-CN"/>
              </w:rPr>
              <w:t>540.19</w:t>
            </w:r>
            <w:r>
              <w:rPr>
                <w:rFonts w:hint="eastAsia" w:hAnsi="Arial"/>
                <w:highlight w:val="white"/>
                <w:lang w:val="zh-CN"/>
              </w:rPr>
              <w:t>万元，公用支出</w:t>
            </w:r>
            <w:r>
              <w:rPr>
                <w:rFonts w:hint="eastAsia" w:hAnsi="Arial"/>
                <w:highlight w:val="white"/>
                <w:lang w:val="en-US" w:eastAsia="zh-CN"/>
              </w:rPr>
              <w:t>59.99</w:t>
            </w:r>
            <w:r>
              <w:rPr>
                <w:rFonts w:hint="eastAsia" w:hAnsi="Arial"/>
                <w:highlight w:val="white"/>
                <w:lang w:val="zh-CN"/>
              </w:rPr>
              <w:t>万元。</w:t>
            </w:r>
          </w:p>
          <w:p>
            <w:pPr>
              <w:pStyle w:val="6"/>
              <w:keepNext w:val="0"/>
              <w:keepLines w:val="0"/>
              <w:pageBreakBefore w:val="0"/>
              <w:kinsoku/>
              <w:wordWrap/>
              <w:overflowPunct/>
              <w:topLinePunct w:val="0"/>
              <w:bidi w:val="0"/>
              <w:spacing w:before="0" w:beforeAutospacing="0" w:after="0" w:afterAutospacing="0" w:line="500" w:lineRule="exact"/>
              <w:jc w:val="both"/>
              <w:textAlignment w:val="auto"/>
              <w:rPr>
                <w:rFonts w:hAnsi="Arial"/>
                <w:highlight w:val="white"/>
                <w:lang w:val="zh-CN"/>
              </w:rPr>
            </w:pPr>
            <w:r>
              <w:rPr>
                <w:rFonts w:hint="eastAsia" w:hAnsi="Arial"/>
                <w:highlight w:val="white"/>
                <w:lang w:val="zh-CN"/>
              </w:rPr>
              <w:t>3）、预算专项支出</w:t>
            </w:r>
            <w:r>
              <w:rPr>
                <w:rFonts w:hint="eastAsia" w:hAnsi="Arial"/>
                <w:highlight w:val="white"/>
                <w:lang w:val="en-US" w:eastAsia="zh-CN"/>
              </w:rPr>
              <w:t>278</w:t>
            </w:r>
            <w:r>
              <w:rPr>
                <w:rFonts w:hint="eastAsia" w:hAnsi="Arial"/>
                <w:highlight w:val="white"/>
                <w:lang w:val="zh-CN"/>
              </w:rPr>
              <w:t>.68万元,来源为财政拨款为以下几个项目: ①食品抽验经费33.77万元；②药品抽验经费34.3万元；③仪器设备检测维修经费15万元；④事业运行经费</w:t>
            </w:r>
            <w:r>
              <w:rPr>
                <w:rFonts w:hint="eastAsia" w:hAnsi="Arial"/>
                <w:highlight w:val="white"/>
                <w:lang w:val="en-US" w:eastAsia="zh-CN"/>
              </w:rPr>
              <w:t>82.61</w:t>
            </w:r>
            <w:r>
              <w:rPr>
                <w:rFonts w:hint="eastAsia" w:hAnsi="Arial"/>
                <w:highlight w:val="white"/>
                <w:lang w:val="zh-CN"/>
              </w:rPr>
              <w:t>万元；⑤劳务费</w:t>
            </w:r>
            <w:r>
              <w:rPr>
                <w:rFonts w:hint="eastAsia" w:hAnsi="Arial"/>
                <w:highlight w:val="white"/>
                <w:lang w:val="en-US" w:eastAsia="zh-CN"/>
              </w:rPr>
              <w:t>63</w:t>
            </w:r>
            <w:r>
              <w:rPr>
                <w:rFonts w:hint="eastAsia" w:hAnsi="Arial"/>
                <w:highlight w:val="white"/>
                <w:lang w:val="zh-CN"/>
              </w:rPr>
              <w:t>万元；⑥</w:t>
            </w:r>
            <w:r>
              <w:rPr>
                <w:rFonts w:hint="eastAsia"/>
                <w:highlight w:val="white"/>
                <w:lang w:val="zh-CN"/>
              </w:rPr>
              <w:t>药品委托检验费50万元</w:t>
            </w:r>
            <w:r>
              <w:rPr>
                <w:rFonts w:hint="eastAsia" w:hAnsi="Arial"/>
                <w:highlight w:val="white"/>
                <w:lang w:val="zh-CN"/>
              </w:rPr>
              <w:t>。</w:t>
            </w:r>
          </w:p>
          <w:p>
            <w:pPr>
              <w:keepNext w:val="0"/>
              <w:keepLines w:val="0"/>
              <w:pageBreakBefore w:val="0"/>
              <w:widowControl/>
              <w:shd w:val="clear" w:color="auto" w:fill="FFFFFF"/>
              <w:kinsoku/>
              <w:wordWrap/>
              <w:overflowPunct/>
              <w:topLinePunct w:val="0"/>
              <w:bidi w:val="0"/>
              <w:snapToGrid w:val="0"/>
              <w:spacing w:line="500" w:lineRule="exact"/>
              <w:textAlignment w:val="auto"/>
              <w:rPr>
                <w:rFonts w:ascii="宋体" w:hAnsi="Arial" w:cs="宋体"/>
                <w:kern w:val="0"/>
                <w:sz w:val="24"/>
                <w:highlight w:val="white"/>
                <w:lang w:val="zh-CN"/>
              </w:rPr>
            </w:pPr>
            <w:r>
              <w:rPr>
                <w:rFonts w:hint="eastAsia" w:ascii="宋体" w:hAnsi="Arial" w:cs="宋体"/>
                <w:kern w:val="0"/>
                <w:sz w:val="24"/>
                <w:highlight w:val="white"/>
                <w:lang w:val="zh-CN"/>
              </w:rPr>
              <w:t>二、预算支出情况</w:t>
            </w:r>
          </w:p>
          <w:p>
            <w:pPr>
              <w:keepNext w:val="0"/>
              <w:keepLines w:val="0"/>
              <w:pageBreakBefore w:val="0"/>
              <w:kinsoku/>
              <w:wordWrap/>
              <w:overflowPunct/>
              <w:topLinePunct w:val="0"/>
              <w:bidi w:val="0"/>
              <w:spacing w:line="500" w:lineRule="exact"/>
              <w:textAlignment w:val="auto"/>
              <w:rPr>
                <w:rFonts w:ascii="宋体" w:hAnsi="Arial" w:cs="宋体"/>
                <w:kern w:val="0"/>
                <w:sz w:val="24"/>
                <w:highlight w:val="white"/>
                <w:lang w:val="zh-CN"/>
              </w:rPr>
            </w:pPr>
            <w:r>
              <w:rPr>
                <w:rFonts w:hint="eastAsia" w:ascii="宋体" w:hAnsi="Arial" w:cs="宋体"/>
                <w:kern w:val="0"/>
                <w:sz w:val="24"/>
                <w:highlight w:val="white"/>
                <w:lang w:val="zh-CN"/>
              </w:rPr>
              <w:t>1、基本支出执行情况</w:t>
            </w:r>
          </w:p>
          <w:p>
            <w:pPr>
              <w:keepNext w:val="0"/>
              <w:keepLines w:val="0"/>
              <w:pageBreakBefore w:val="0"/>
              <w:kinsoku/>
              <w:wordWrap/>
              <w:overflowPunct/>
              <w:topLinePunct w:val="0"/>
              <w:bidi w:val="0"/>
              <w:spacing w:line="500" w:lineRule="exact"/>
              <w:textAlignment w:val="auto"/>
              <w:rPr>
                <w:rFonts w:ascii="宋体" w:hAnsi="Arial" w:cs="宋体"/>
                <w:kern w:val="0"/>
                <w:sz w:val="24"/>
                <w:highlight w:val="white"/>
                <w:lang w:val="zh-CN"/>
              </w:rPr>
            </w:pPr>
            <w:r>
              <w:rPr>
                <w:rFonts w:hint="eastAsia" w:ascii="宋体" w:hAnsi="Arial" w:cs="宋体"/>
                <w:kern w:val="0"/>
                <w:sz w:val="24"/>
                <w:highlight w:val="white"/>
                <w:lang w:val="zh-CN"/>
              </w:rPr>
              <w:t>基本支出：</w:t>
            </w:r>
            <w:r>
              <w:rPr>
                <w:rFonts w:hint="eastAsia" w:ascii="宋体" w:hAnsi="Arial" w:cs="宋体"/>
                <w:kern w:val="0"/>
                <w:sz w:val="24"/>
                <w:highlight w:val="white"/>
                <w:lang w:val="en-US" w:eastAsia="zh-CN"/>
              </w:rPr>
              <w:t>849.89</w:t>
            </w:r>
            <w:r>
              <w:rPr>
                <w:rFonts w:hint="eastAsia" w:ascii="宋体" w:hAnsi="Arial" w:cs="宋体"/>
                <w:kern w:val="0"/>
                <w:sz w:val="24"/>
                <w:highlight w:val="white"/>
                <w:lang w:val="zh-CN"/>
              </w:rPr>
              <w:t>万元，其中：人员支出</w:t>
            </w:r>
            <w:r>
              <w:rPr>
                <w:rFonts w:hint="eastAsia" w:ascii="宋体" w:hAnsi="Arial" w:cs="宋体"/>
                <w:kern w:val="0"/>
                <w:sz w:val="24"/>
                <w:highlight w:val="white"/>
                <w:lang w:val="en-US" w:eastAsia="zh-CN"/>
              </w:rPr>
              <w:t>776.06</w:t>
            </w:r>
            <w:r>
              <w:rPr>
                <w:rFonts w:hint="eastAsia" w:ascii="宋体" w:hAnsi="Arial" w:cs="宋体"/>
                <w:kern w:val="0"/>
                <w:sz w:val="24"/>
                <w:highlight w:val="white"/>
                <w:lang w:val="zh-CN"/>
              </w:rPr>
              <w:t>万元； 公用支出</w:t>
            </w:r>
            <w:r>
              <w:rPr>
                <w:rFonts w:hint="eastAsia" w:ascii="宋体" w:hAnsi="Arial" w:cs="宋体"/>
                <w:kern w:val="0"/>
                <w:sz w:val="24"/>
                <w:highlight w:val="white"/>
                <w:lang w:val="en-US" w:eastAsia="zh-CN"/>
              </w:rPr>
              <w:t>73.83</w:t>
            </w:r>
            <w:r>
              <w:rPr>
                <w:rFonts w:hint="eastAsia" w:ascii="宋体" w:hAnsi="Arial" w:cs="宋体"/>
                <w:kern w:val="0"/>
                <w:sz w:val="24"/>
                <w:highlight w:val="white"/>
                <w:lang w:val="zh-CN"/>
              </w:rPr>
              <w:t>万元。</w:t>
            </w:r>
          </w:p>
          <w:p>
            <w:pPr>
              <w:keepNext w:val="0"/>
              <w:keepLines w:val="0"/>
              <w:pageBreakBefore w:val="0"/>
              <w:kinsoku/>
              <w:wordWrap/>
              <w:overflowPunct/>
              <w:topLinePunct w:val="0"/>
              <w:autoSpaceDE w:val="0"/>
              <w:autoSpaceDN w:val="0"/>
              <w:bidi w:val="0"/>
              <w:adjustRightInd w:val="0"/>
              <w:spacing w:line="500" w:lineRule="exact"/>
              <w:textAlignment w:val="auto"/>
              <w:rPr>
                <w:rFonts w:ascii="宋体" w:hAnsi="Arial" w:cs="宋体"/>
                <w:kern w:val="0"/>
                <w:sz w:val="24"/>
                <w:highlight w:val="white"/>
                <w:lang w:val="zh-CN"/>
              </w:rPr>
            </w:pPr>
            <w:r>
              <w:rPr>
                <w:rFonts w:hint="eastAsia" w:ascii="宋体" w:hAnsi="Arial" w:cs="宋体"/>
                <w:kern w:val="0"/>
                <w:sz w:val="24"/>
                <w:highlight w:val="white"/>
                <w:lang w:val="zh-CN"/>
              </w:rPr>
              <w:t xml:space="preserve">   我所202</w:t>
            </w:r>
            <w:r>
              <w:rPr>
                <w:rFonts w:hint="eastAsia" w:ascii="宋体" w:hAnsi="Arial" w:cs="宋体"/>
                <w:kern w:val="0"/>
                <w:sz w:val="24"/>
                <w:highlight w:val="white"/>
                <w:lang w:val="en-US" w:eastAsia="zh-CN"/>
              </w:rPr>
              <w:t>2</w:t>
            </w:r>
            <w:r>
              <w:rPr>
                <w:rFonts w:hint="eastAsia" w:ascii="宋体" w:hAnsi="Arial" w:cs="宋体"/>
                <w:kern w:val="0"/>
                <w:sz w:val="24"/>
                <w:highlight w:val="white"/>
                <w:lang w:val="zh-CN"/>
              </w:rPr>
              <w:t>年基本支出实际开支共计</w:t>
            </w:r>
            <w:r>
              <w:rPr>
                <w:rFonts w:hint="eastAsia" w:ascii="宋体" w:hAnsi="Arial" w:cs="宋体"/>
                <w:kern w:val="0"/>
                <w:sz w:val="24"/>
                <w:highlight w:val="white"/>
                <w:lang w:val="en-US" w:eastAsia="zh-CN"/>
              </w:rPr>
              <w:t>849.89</w:t>
            </w:r>
            <w:r>
              <w:rPr>
                <w:rFonts w:hint="eastAsia" w:ascii="宋体" w:hAnsi="Arial" w:cs="宋体"/>
                <w:kern w:val="0"/>
                <w:sz w:val="24"/>
                <w:highlight w:val="white"/>
                <w:lang w:val="zh-CN"/>
              </w:rPr>
              <w:t>万元，其中：工资福利支出</w:t>
            </w:r>
            <w:r>
              <w:rPr>
                <w:rFonts w:hint="eastAsia" w:ascii="宋体" w:hAnsi="Arial" w:cs="宋体"/>
                <w:kern w:val="0"/>
                <w:sz w:val="24"/>
                <w:highlight w:val="white"/>
                <w:lang w:val="en-US" w:eastAsia="zh-CN"/>
              </w:rPr>
              <w:t>704.82</w:t>
            </w:r>
            <w:r>
              <w:rPr>
                <w:rFonts w:hint="eastAsia" w:ascii="宋体" w:hAnsi="Arial" w:cs="宋体"/>
                <w:kern w:val="0"/>
                <w:sz w:val="24"/>
                <w:highlight w:val="white"/>
                <w:lang w:val="zh-CN"/>
              </w:rPr>
              <w:t>万元，对个人和家庭补助支出</w:t>
            </w:r>
            <w:r>
              <w:rPr>
                <w:rFonts w:hint="eastAsia" w:ascii="宋体" w:hAnsi="Arial" w:cs="宋体"/>
                <w:kern w:val="0"/>
                <w:sz w:val="24"/>
                <w:highlight w:val="white"/>
                <w:lang w:val="en-US" w:eastAsia="zh-CN"/>
              </w:rPr>
              <w:t>71.24</w:t>
            </w:r>
            <w:r>
              <w:rPr>
                <w:rFonts w:hint="eastAsia" w:ascii="宋体" w:hAnsi="Arial" w:cs="宋体"/>
                <w:kern w:val="0"/>
                <w:sz w:val="24"/>
                <w:highlight w:val="white"/>
                <w:lang w:val="zh-CN"/>
              </w:rPr>
              <w:t>万元，资本性支出</w:t>
            </w:r>
            <w:r>
              <w:rPr>
                <w:rFonts w:hint="eastAsia" w:ascii="宋体" w:hAnsi="Arial" w:cs="宋体"/>
                <w:kern w:val="0"/>
                <w:sz w:val="24"/>
                <w:highlight w:val="white"/>
                <w:lang w:val="en-US" w:eastAsia="zh-CN"/>
              </w:rPr>
              <w:t>12.85</w:t>
            </w:r>
            <w:r>
              <w:rPr>
                <w:rFonts w:hint="eastAsia" w:ascii="宋体" w:hAnsi="Arial" w:cs="宋体"/>
                <w:kern w:val="0"/>
                <w:sz w:val="24"/>
                <w:highlight w:val="white"/>
                <w:lang w:val="zh-CN"/>
              </w:rPr>
              <w:t>万元，</w:t>
            </w:r>
            <w:r>
              <w:rPr>
                <w:rFonts w:hint="eastAsia" w:ascii="宋体" w:hAnsi="Arial" w:cs="宋体"/>
                <w:kern w:val="0"/>
                <w:sz w:val="24"/>
                <w:highlight w:val="white"/>
                <w:lang w:val="zh-CN" w:eastAsia="zh-CN"/>
              </w:rPr>
              <w:t>商品服务支出</w:t>
            </w:r>
            <w:r>
              <w:rPr>
                <w:rFonts w:hint="eastAsia" w:ascii="宋体" w:hAnsi="Arial" w:cs="宋体"/>
                <w:kern w:val="0"/>
                <w:sz w:val="24"/>
                <w:highlight w:val="white"/>
                <w:lang w:val="en-US" w:eastAsia="zh-CN"/>
              </w:rPr>
              <w:t>60.99</w:t>
            </w:r>
            <w:r>
              <w:rPr>
                <w:rFonts w:hint="eastAsia" w:ascii="宋体" w:hAnsi="Arial" w:cs="宋体"/>
                <w:kern w:val="0"/>
                <w:sz w:val="24"/>
                <w:highlight w:val="white"/>
                <w:lang w:val="zh-CN"/>
              </w:rPr>
              <w:t>万元（主要用于车辆运行费、水、电、办公费等）,年初公用经费预算为</w:t>
            </w:r>
            <w:r>
              <w:rPr>
                <w:rFonts w:hint="eastAsia" w:ascii="宋体" w:hAnsi="Arial" w:cs="宋体"/>
                <w:kern w:val="0"/>
                <w:sz w:val="24"/>
                <w:highlight w:val="white"/>
                <w:lang w:val="en-US" w:eastAsia="zh-CN"/>
              </w:rPr>
              <w:t>59.99</w:t>
            </w:r>
            <w:r>
              <w:rPr>
                <w:rFonts w:hint="eastAsia" w:ascii="宋体" w:hAnsi="Arial" w:cs="宋体"/>
                <w:kern w:val="0"/>
                <w:sz w:val="24"/>
                <w:highlight w:val="white"/>
                <w:lang w:val="zh-CN"/>
              </w:rPr>
              <w:t>万元，原因是业务性专项经费用于弥补基本支出的不足。</w:t>
            </w:r>
          </w:p>
          <w:p>
            <w:pPr>
              <w:keepNext w:val="0"/>
              <w:keepLines w:val="0"/>
              <w:pageBreakBefore w:val="0"/>
              <w:kinsoku/>
              <w:wordWrap/>
              <w:overflowPunct/>
              <w:topLinePunct w:val="0"/>
              <w:autoSpaceDE w:val="0"/>
              <w:autoSpaceDN w:val="0"/>
              <w:bidi w:val="0"/>
              <w:adjustRightInd w:val="0"/>
              <w:spacing w:line="500" w:lineRule="exact"/>
              <w:ind w:firstLine="360" w:firstLineChars="150"/>
              <w:textAlignment w:val="auto"/>
              <w:rPr>
                <w:rFonts w:ascii="宋体" w:hAnsi="Arial" w:cs="宋体"/>
                <w:kern w:val="0"/>
                <w:sz w:val="24"/>
                <w:highlight w:val="white"/>
                <w:lang w:val="zh-CN"/>
              </w:rPr>
            </w:pPr>
            <w:r>
              <w:rPr>
                <w:rFonts w:hint="eastAsia" w:ascii="宋体" w:hAnsi="Arial" w:cs="宋体"/>
                <w:kern w:val="0"/>
                <w:sz w:val="24"/>
                <w:highlight w:val="white"/>
                <w:lang w:val="zh-CN"/>
              </w:rPr>
              <w:t>今年我所三公经费实际开支</w:t>
            </w:r>
            <w:r>
              <w:rPr>
                <w:rFonts w:hint="eastAsia" w:ascii="宋体" w:hAnsi="Arial" w:cs="宋体"/>
                <w:kern w:val="0"/>
                <w:sz w:val="24"/>
                <w:highlight w:val="white"/>
                <w:lang w:val="en-US" w:eastAsia="zh-CN"/>
              </w:rPr>
              <w:t>9.72</w:t>
            </w:r>
            <w:r>
              <w:rPr>
                <w:rFonts w:hint="eastAsia" w:ascii="宋体" w:hAnsi="Arial" w:cs="宋体"/>
                <w:kern w:val="0"/>
                <w:sz w:val="24"/>
                <w:highlight w:val="white"/>
                <w:lang w:val="zh-CN"/>
              </w:rPr>
              <w:t>万元，其中：公务招待费0.1</w:t>
            </w:r>
            <w:r>
              <w:rPr>
                <w:rFonts w:hint="eastAsia" w:ascii="宋体" w:hAnsi="Arial" w:cs="宋体"/>
                <w:kern w:val="0"/>
                <w:sz w:val="24"/>
                <w:highlight w:val="white"/>
                <w:lang w:val="en-US" w:eastAsia="zh-CN"/>
              </w:rPr>
              <w:t>2</w:t>
            </w:r>
            <w:r>
              <w:rPr>
                <w:rFonts w:hint="eastAsia" w:ascii="宋体" w:hAnsi="Arial" w:cs="宋体"/>
                <w:kern w:val="0"/>
                <w:sz w:val="24"/>
                <w:highlight w:val="white"/>
                <w:lang w:val="zh-CN"/>
              </w:rPr>
              <w:t>万元，车辆使用费</w:t>
            </w:r>
            <w:r>
              <w:rPr>
                <w:rFonts w:hint="eastAsia" w:ascii="宋体" w:hAnsi="Arial" w:cs="宋体"/>
                <w:kern w:val="0"/>
                <w:sz w:val="24"/>
                <w:highlight w:val="white"/>
                <w:lang w:val="en-US" w:eastAsia="zh-CN"/>
              </w:rPr>
              <w:t>9.6</w:t>
            </w:r>
            <w:r>
              <w:rPr>
                <w:rFonts w:hint="eastAsia" w:ascii="宋体" w:hAnsi="Arial" w:cs="宋体"/>
                <w:kern w:val="0"/>
                <w:sz w:val="24"/>
                <w:highlight w:val="white"/>
                <w:lang w:val="zh-CN"/>
              </w:rPr>
              <w:t>万元,出国费0元。</w:t>
            </w:r>
          </w:p>
          <w:p>
            <w:pPr>
              <w:keepNext w:val="0"/>
              <w:keepLines w:val="0"/>
              <w:pageBreakBefore w:val="0"/>
              <w:kinsoku/>
              <w:wordWrap/>
              <w:overflowPunct/>
              <w:topLinePunct w:val="0"/>
              <w:autoSpaceDE w:val="0"/>
              <w:autoSpaceDN w:val="0"/>
              <w:bidi w:val="0"/>
              <w:adjustRightInd w:val="0"/>
              <w:spacing w:line="500" w:lineRule="exact"/>
              <w:textAlignment w:val="auto"/>
              <w:rPr>
                <w:rFonts w:ascii="宋体" w:hAnsi="Arial" w:cs="宋体"/>
                <w:kern w:val="0"/>
                <w:sz w:val="24"/>
                <w:highlight w:val="white"/>
                <w:lang w:val="zh-CN"/>
              </w:rPr>
            </w:pPr>
            <w:r>
              <w:rPr>
                <w:rFonts w:hint="eastAsia" w:ascii="宋体" w:hAnsi="Arial" w:cs="宋体"/>
                <w:kern w:val="0"/>
                <w:sz w:val="24"/>
                <w:highlight w:val="white"/>
                <w:lang w:val="zh-CN"/>
              </w:rPr>
              <w:t xml:space="preserve">2、专项执行情况 </w:t>
            </w:r>
          </w:p>
          <w:p>
            <w:pPr>
              <w:keepNext w:val="0"/>
              <w:keepLines w:val="0"/>
              <w:pageBreakBefore w:val="0"/>
              <w:kinsoku/>
              <w:wordWrap/>
              <w:overflowPunct/>
              <w:topLinePunct w:val="0"/>
              <w:autoSpaceDE w:val="0"/>
              <w:autoSpaceDN w:val="0"/>
              <w:bidi w:val="0"/>
              <w:adjustRightInd w:val="0"/>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我所202</w:t>
            </w:r>
            <w:r>
              <w:rPr>
                <w:rFonts w:hint="eastAsia" w:ascii="宋体" w:hAnsi="Arial" w:cs="宋体"/>
                <w:kern w:val="0"/>
                <w:sz w:val="24"/>
                <w:highlight w:val="white"/>
                <w:lang w:val="en-US" w:eastAsia="zh-CN"/>
              </w:rPr>
              <w:t>2</w:t>
            </w:r>
            <w:r>
              <w:rPr>
                <w:rFonts w:hint="eastAsia" w:ascii="宋体" w:hAnsi="Arial" w:cs="宋体"/>
                <w:kern w:val="0"/>
                <w:sz w:val="24"/>
                <w:highlight w:val="white"/>
                <w:lang w:val="zh-CN"/>
              </w:rPr>
              <w:t>年专项支出实际开支共计</w:t>
            </w:r>
            <w:r>
              <w:rPr>
                <w:rFonts w:hint="eastAsia" w:ascii="宋体" w:hAnsi="Arial" w:cs="宋体"/>
                <w:kern w:val="0"/>
                <w:sz w:val="24"/>
                <w:highlight w:val="white"/>
                <w:lang w:val="en-US" w:eastAsia="zh-CN"/>
              </w:rPr>
              <w:t>370.01</w:t>
            </w:r>
            <w:r>
              <w:rPr>
                <w:rFonts w:hint="eastAsia" w:ascii="宋体" w:hAnsi="Arial" w:cs="宋体"/>
                <w:kern w:val="0"/>
                <w:sz w:val="24"/>
                <w:highlight w:val="white"/>
                <w:lang w:val="zh-CN"/>
              </w:rPr>
              <w:t>万元。其中：工资福利支出0万元，商品服务支出</w:t>
            </w:r>
            <w:r>
              <w:rPr>
                <w:rFonts w:hint="eastAsia" w:ascii="宋体" w:hAnsi="Arial" w:cs="宋体"/>
                <w:kern w:val="0"/>
                <w:sz w:val="24"/>
                <w:highlight w:val="white"/>
                <w:lang w:val="en-US" w:eastAsia="zh-CN"/>
              </w:rPr>
              <w:t>293.03</w:t>
            </w:r>
            <w:r>
              <w:rPr>
                <w:rFonts w:hint="eastAsia" w:ascii="宋体" w:hAnsi="Arial" w:cs="宋体"/>
                <w:kern w:val="0"/>
                <w:sz w:val="24"/>
                <w:highlight w:val="white"/>
                <w:lang w:val="zh-CN"/>
              </w:rPr>
              <w:t>万元，资本性支出</w:t>
            </w:r>
            <w:r>
              <w:rPr>
                <w:rFonts w:hint="eastAsia" w:ascii="宋体" w:hAnsi="Arial" w:cs="宋体"/>
                <w:kern w:val="0"/>
                <w:sz w:val="24"/>
                <w:highlight w:val="white"/>
                <w:lang w:val="en-US" w:eastAsia="zh-CN"/>
              </w:rPr>
              <w:t>76.99</w:t>
            </w:r>
            <w:r>
              <w:rPr>
                <w:rFonts w:hint="eastAsia" w:ascii="宋体" w:hAnsi="Arial" w:cs="宋体"/>
                <w:kern w:val="0"/>
                <w:sz w:val="24"/>
                <w:highlight w:val="white"/>
                <w:lang w:val="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部门整体支出绩效</w:t>
            </w:r>
          </w:p>
        </w:tc>
        <w:tc>
          <w:tcPr>
            <w:tcW w:w="6840" w:type="dxa"/>
            <w:vAlign w:val="center"/>
          </w:tcPr>
          <w:p>
            <w:pPr>
              <w:pStyle w:val="6"/>
              <w:keepNext w:val="0"/>
              <w:keepLines w:val="0"/>
              <w:pageBreakBefore w:val="0"/>
              <w:widowControl/>
              <w:kinsoku/>
              <w:wordWrap/>
              <w:overflowPunct/>
              <w:topLinePunct w:val="0"/>
              <w:autoSpaceDE/>
              <w:autoSpaceDN/>
              <w:bidi w:val="0"/>
              <w:spacing w:beforeAutospacing="0" w:afterAutospacing="0" w:line="500" w:lineRule="exact"/>
              <w:ind w:firstLine="480" w:firstLineChars="200"/>
              <w:textAlignment w:val="auto"/>
              <w:rPr>
                <w:rFonts w:hint="eastAsia" w:ascii="宋体" w:hAnsi="宋体" w:eastAsia="宋体" w:cs="宋体"/>
                <w:sz w:val="24"/>
                <w:szCs w:val="24"/>
                <w:highlight w:val="white"/>
                <w:lang w:val="zh-CN"/>
              </w:rPr>
            </w:pPr>
            <w:r>
              <w:rPr>
                <w:rFonts w:hint="eastAsia" w:ascii="宋体" w:hAnsi="宋体" w:eastAsia="宋体" w:cs="宋体"/>
                <w:sz w:val="24"/>
                <w:szCs w:val="24"/>
                <w:highlight w:val="white"/>
                <w:lang w:val="zh-CN"/>
              </w:rPr>
              <w:t xml:space="preserve"> </w:t>
            </w:r>
            <w:r>
              <w:rPr>
                <w:rFonts w:hint="eastAsia" w:ascii="宋体" w:hAnsi="宋体" w:eastAsia="宋体" w:cs="宋体"/>
                <w:bCs/>
                <w:sz w:val="24"/>
                <w:szCs w:val="24"/>
              </w:rPr>
              <w:t>2022年是实施“十四五”规划承上启下的关键之年，在市场监督管理局党组坚强领导下，加强思想政治建设、检验业务建设、党风廉政建设、精神文明建设一体推进，加强能力建设，努力提高业务能力，为市场监管提供强有力的技术支撑，守护人民群众饮食、用药安全。</w:t>
            </w:r>
            <w:r>
              <w:rPr>
                <w:rFonts w:hint="eastAsia" w:ascii="宋体" w:hAnsi="宋体" w:eastAsia="宋体" w:cs="宋体"/>
                <w:sz w:val="24"/>
                <w:szCs w:val="24"/>
                <w:highlight w:val="white"/>
                <w:lang w:val="zh-CN"/>
              </w:rPr>
              <w:t xml:space="preserve">  </w:t>
            </w:r>
          </w:p>
          <w:p>
            <w:pPr>
              <w:pStyle w:val="6"/>
              <w:keepNext w:val="0"/>
              <w:keepLines w:val="0"/>
              <w:pageBreakBefore w:val="0"/>
              <w:widowControl/>
              <w:kinsoku/>
              <w:wordWrap/>
              <w:overflowPunct/>
              <w:topLinePunct w:val="0"/>
              <w:autoSpaceDE/>
              <w:autoSpaceDN/>
              <w:bidi w:val="0"/>
              <w:spacing w:beforeAutospacing="0" w:afterAutospacing="0"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一、以党建引领，推动事业高质量发展</w:t>
            </w:r>
          </w:p>
          <w:p>
            <w:pPr>
              <w:pStyle w:val="6"/>
              <w:keepNext w:val="0"/>
              <w:keepLines w:val="0"/>
              <w:pageBreakBefore w:val="0"/>
              <w:widowControl/>
              <w:kinsoku/>
              <w:wordWrap/>
              <w:overflowPunct/>
              <w:topLinePunct w:val="0"/>
              <w:autoSpaceDE/>
              <w:autoSpaceDN/>
              <w:bidi w:val="0"/>
              <w:spacing w:beforeAutospacing="0" w:afterAutospacing="0"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我所始终把践行"四个意识"、"四个自信"、"两个维护"作为首要政治任务，以党建引领，推动食药检事业高质量发展。</w:t>
            </w:r>
          </w:p>
          <w:p>
            <w:pPr>
              <w:keepNext w:val="0"/>
              <w:keepLines w:val="0"/>
              <w:pageBreakBefore w:val="0"/>
              <w:numPr>
                <w:ilvl w:val="0"/>
                <w:numId w:val="1"/>
              </w:numPr>
              <w:kinsoku/>
              <w:wordWrap/>
              <w:overflowPunct/>
              <w:topLinePunct w:val="0"/>
              <w:autoSpaceDE/>
              <w:autoSpaceDN/>
              <w:bidi w:val="0"/>
              <w:spacing w:line="500" w:lineRule="exact"/>
              <w:ind w:firstLine="480" w:firstLineChars="200"/>
              <w:textAlignment w:val="auto"/>
              <w:rPr>
                <w:rFonts w:hint="eastAsia" w:ascii="宋体" w:hAnsi="宋体" w:eastAsia="宋体" w:cs="宋体"/>
                <w:bCs/>
                <w:kern w:val="0"/>
                <w:sz w:val="24"/>
                <w:szCs w:val="24"/>
              </w:rPr>
            </w:pPr>
            <w:r>
              <w:rPr>
                <w:rFonts w:hint="eastAsia" w:ascii="宋体" w:hAnsi="宋体" w:eastAsia="宋体" w:cs="宋体"/>
                <w:color w:val="000000"/>
                <w:sz w:val="24"/>
                <w:szCs w:val="24"/>
              </w:rPr>
              <w:t>今年以来，我所根据</w:t>
            </w:r>
            <w:r>
              <w:rPr>
                <w:rFonts w:hint="eastAsia" w:ascii="宋体" w:hAnsi="宋体" w:eastAsia="宋体" w:cs="宋体"/>
                <w:sz w:val="24"/>
                <w:szCs w:val="24"/>
                <w:shd w:val="clear" w:color="auto" w:fill="FFFFFF"/>
              </w:rPr>
              <w:t>湘潭市“正作风、提精神、鼓士气”专项整治行动和</w:t>
            </w:r>
            <w:r>
              <w:rPr>
                <w:rFonts w:hint="eastAsia" w:ascii="宋体" w:hAnsi="宋体" w:eastAsia="宋体" w:cs="宋体"/>
                <w:color w:val="000000"/>
                <w:sz w:val="24"/>
                <w:szCs w:val="24"/>
              </w:rPr>
              <w:t>湘潭市市场监督管理局关于印发《湘潭市市场监督管理局2022年党员干部“心连心走基层、面对面解难题”活动实施方案》的通知（潭市监发〔202</w:t>
            </w:r>
            <w:r>
              <w:rPr>
                <w:rFonts w:hint="eastAsia" w:ascii="宋体" w:hAnsi="宋体" w:eastAsia="宋体" w:cs="宋体"/>
                <w:bCs/>
                <w:sz w:val="24"/>
                <w:szCs w:val="24"/>
              </w:rPr>
              <w:t>2〕25号</w:t>
            </w:r>
            <w:r>
              <w:rPr>
                <w:rFonts w:hint="eastAsia" w:ascii="宋体" w:hAnsi="宋体" w:eastAsia="宋体" w:cs="宋体"/>
                <w:color w:val="000000"/>
                <w:sz w:val="24"/>
                <w:szCs w:val="24"/>
              </w:rPr>
              <w:t>）要求。在全所开展</w:t>
            </w:r>
            <w:r>
              <w:rPr>
                <w:rFonts w:hint="eastAsia" w:ascii="宋体" w:hAnsi="宋体" w:eastAsia="宋体" w:cs="宋体"/>
                <w:sz w:val="24"/>
                <w:szCs w:val="24"/>
                <w:shd w:val="clear" w:color="auto" w:fill="FFFFFF"/>
              </w:rPr>
              <w:t>“正作风、提精神、鼓士气”专项整治行动和</w:t>
            </w:r>
            <w:r>
              <w:rPr>
                <w:rFonts w:hint="eastAsia" w:ascii="宋体" w:hAnsi="宋体" w:eastAsia="宋体" w:cs="宋体"/>
                <w:color w:val="000000"/>
                <w:sz w:val="24"/>
                <w:szCs w:val="24"/>
              </w:rPr>
              <w:t>“心连心走基层、面对面解难题”活动。所领导带领全所干部职工开展意识形态教育，完成“一行动、一活动”学习讨论和联系基层解决问题15次，开展党纪教育和反腐倡廉教育5次，红包礼金专项整治教育3次。我所</w:t>
            </w:r>
            <w:r>
              <w:rPr>
                <w:rFonts w:hint="eastAsia" w:ascii="宋体" w:hAnsi="宋体" w:eastAsia="宋体" w:cs="宋体"/>
                <w:bCs/>
                <w:sz w:val="24"/>
                <w:szCs w:val="24"/>
              </w:rPr>
              <w:t>立足食品药品检验检测工作实际，发挥我所专业技术优势，积极研究新技术、新方法、新工具，“面对面、走基层、解难题”帮助企业解决技术难题：一是先后对湖南卓润生物科技有限公司，湘潭建春医院，湖南怡康医疗用品有限公司开展空气洁净度检查，检测房间86间；二是为化妆品生产企业湘潭市湃洵生物科技有限公司、食品（碧泉谭）、医疗器械公司（湖南锦鸿医疗器械）提供检验技术培训，主要针对微生物检测项目指标，通过理论讲解与实际操作相结合的方式让培训人员了解检验过程中的疑点难点，掌握相关参数的检验检测技术能力，并对基层人员就如何运用检测手段提高风险研判能力，提高产品质量进行相关技术指导；三是急产业所急，念民生所念，湖南一格药业检验用紫外分光光度计发生故障，恰逢上海疫情致使仪器配件和维修遇阻，我所马上安排人员、仪器帮助企业进行检验，检验人员放弃周末休息，确保企业得以正常生产；四是承接了湖南万利隆食品有限公司的委托检验30批次糕点类及速冻面米、速冻调理食品三个种类糕点的出厂检验，并对公司化验人员进行理论和实操现场培训；五是帮扶乡村振兴，免费为韶山市团田村做食用油发证检验和水质检测等为湘潭市食品、医药产业的高质量发展贡献自己的力量，为民生饮食用药安全提供了技术支撑。</w:t>
            </w:r>
          </w:p>
          <w:p>
            <w:pPr>
              <w:keepNext w:val="0"/>
              <w:keepLines w:val="0"/>
              <w:pageBreakBefore w:val="0"/>
              <w:pBdr>
                <w:bottom w:val="single" w:color="FFFFFF" w:sz="4" w:space="31"/>
              </w:pBdr>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bCs/>
                <w:kern w:val="0"/>
                <w:sz w:val="24"/>
                <w:szCs w:val="24"/>
              </w:rPr>
            </w:pPr>
            <w:r>
              <w:rPr>
                <w:rFonts w:hint="eastAsia" w:ascii="宋体" w:hAnsi="宋体" w:eastAsia="宋体" w:cs="宋体"/>
                <w:bCs/>
                <w:sz w:val="24"/>
                <w:szCs w:val="24"/>
              </w:rPr>
              <w:t>2、巩固提升文明创建和平安建设成效。一是实施工作环境硬化、美化、绿化、亮化工程，打造健康卫生环境，开展义务植树活动；二</w:t>
            </w:r>
            <w:r>
              <w:rPr>
                <w:rFonts w:hint="eastAsia" w:ascii="宋体" w:hAnsi="宋体" w:eastAsia="宋体" w:cs="宋体"/>
                <w:bCs/>
                <w:kern w:val="0"/>
                <w:sz w:val="24"/>
                <w:szCs w:val="24"/>
              </w:rPr>
              <w:t>是参加市科协组织的“走进科技 你我同行”的科</w:t>
            </w:r>
            <w:r>
              <w:rPr>
                <w:rFonts w:hint="eastAsia" w:ascii="宋体" w:hAnsi="宋体" w:eastAsia="宋体" w:cs="宋体"/>
                <w:bCs/>
                <w:sz w:val="24"/>
                <w:szCs w:val="24"/>
              </w:rPr>
              <w:t>普活动，对公众提升对食品、药品、化妆品安全的认知，现场教他们辨别药品真伪，增强人民群众的自我保护和依法维权意识。三是举行了“检验检测公众开放日”活动，19名来自人大代表、政协委员、媒体、师生和家长代表与食品药品检验检测工作来了一次“零距离接触”，让公众了解药品检验检测全过程，加强食品药品检测与社会各界的沟通交流，普及食品药品安全知识，促使食品药品检测不断提升水平、改进服务，增强消费者对食品药品安全的信心。四是到响水乡中心敬老院进行慰问，我所志愿者用自已的实际行动和热情共同演绎、传承和弘扬敬老的传统美德。五是配合经开分局在辖区开展文明用餐、公筷行动等宣贯活动。五是开展慰问离退休老同志寿诞2人并送上慰问金，营造温馨和谐食</w:t>
            </w:r>
            <w:r>
              <w:rPr>
                <w:rFonts w:hint="eastAsia" w:ascii="宋体" w:hAnsi="宋体" w:eastAsia="宋体" w:cs="宋体"/>
                <w:bCs/>
                <w:kern w:val="0"/>
                <w:sz w:val="24"/>
                <w:szCs w:val="24"/>
              </w:rPr>
              <w:t>药检大家庭氛围，以实际行动引领社会新风尚。</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二、抓能力建设提升，提升检测水平确保取得新突破</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通过积极营造出学技术、练本领、比技能、创一流的良好氛围，也为全体职工争优创新树立榜样，进一步激发食药检人业务精钻的工作热情，大胆探索科研领域，有效提升科研创新能力。1、顺利完成市级科研课题《离子色谱高通量同时检测糕点及蜜饯中添加剂及违禁物方法研究》；2、顺利完成省级《湘潭地区餐饮餐具及餐饮食品中沙门氏菌荧光定量PCR快速检测及污染分布规律分析》；3、参与国家局课题《化妆品经营环节检查要点》研究；4、截止目前成功发表了3篇国家级论文刊登在国内各大学术权威期刊。5、</w:t>
            </w:r>
            <w:r>
              <w:rPr>
                <w:rFonts w:hint="eastAsia" w:ascii="宋体" w:hAnsi="宋体" w:eastAsia="宋体" w:cs="宋体"/>
                <w:sz w:val="24"/>
                <w:szCs w:val="24"/>
              </w:rPr>
              <w:t>大力强化技能培训。配强检测人员力量，加强对检测人员食品药品生物安全知识、化学基础知识、实验室安全管理、实验操作规范等9批270余人次岗位培训，并组织人员积极参加质量监督员、内审员、实验室质量管理与控制等专业素养培训，切实提升人员理论知识和操作水平。2022年变更了10项资质能力参数，增加66项资质能力参数，本所已有1756项资质能力参数，积极参加了6项能力验证工作。成功举办了全市药品检验检测技能比武活动，对提高湘潭药品生产企业药品质量控制水平，提升检验检测人员能力有着非常重要的意义。</w:t>
            </w:r>
            <w:r>
              <w:rPr>
                <w:rFonts w:hint="eastAsia" w:ascii="宋体" w:hAnsi="宋体" w:eastAsia="宋体" w:cs="宋体"/>
                <w:bCs/>
                <w:sz w:val="24"/>
                <w:szCs w:val="24"/>
              </w:rPr>
              <w:t xml:space="preserve"> </w:t>
            </w:r>
          </w:p>
          <w:p>
            <w:pPr>
              <w:pStyle w:val="6"/>
              <w:keepNext w:val="0"/>
              <w:keepLines w:val="0"/>
              <w:pageBreakBefore w:val="0"/>
              <w:widowControl/>
              <w:numPr>
                <w:ilvl w:val="0"/>
                <w:numId w:val="2"/>
              </w:numPr>
              <w:kinsoku/>
              <w:wordWrap/>
              <w:overflowPunct/>
              <w:topLinePunct w:val="0"/>
              <w:autoSpaceDE/>
              <w:autoSpaceDN/>
              <w:bidi w:val="0"/>
              <w:spacing w:beforeAutospacing="0" w:afterAutospacing="0"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业务工作稳步提升，尽心尽力履职</w:t>
            </w:r>
          </w:p>
          <w:p>
            <w:pPr>
              <w:keepNext w:val="0"/>
              <w:keepLines w:val="0"/>
              <w:pageBreakBefore w:val="0"/>
              <w:kinsoku/>
              <w:wordWrap/>
              <w:overflowPunct/>
              <w:topLinePunct w:val="0"/>
              <w:autoSpaceDE/>
              <w:autoSpaceDN/>
              <w:bidi w:val="0"/>
              <w:spacing w:line="500" w:lineRule="exact"/>
              <w:ind w:firstLine="480" w:firstLineChars="200"/>
              <w:jc w:val="left"/>
              <w:textAlignment w:val="auto"/>
              <w:rPr>
                <w:rFonts w:hint="eastAsia" w:ascii="宋体" w:hAnsi="宋体" w:eastAsia="宋体" w:cs="宋体"/>
                <w:sz w:val="24"/>
                <w:szCs w:val="24"/>
                <w:highlight w:val="white"/>
                <w:lang w:val="zh-CN"/>
              </w:rPr>
            </w:pPr>
            <w:r>
              <w:rPr>
                <w:rFonts w:hint="eastAsia" w:ascii="宋体" w:hAnsi="宋体" w:eastAsia="宋体" w:cs="宋体"/>
                <w:bCs/>
                <w:sz w:val="24"/>
                <w:szCs w:val="24"/>
              </w:rPr>
              <w:t xml:space="preserve"> 2022年我所承担市级食品抽验任务800批次，现已完成抽样776批次，完成检验713批次，其中有20个不同批次的食品不合格，不合格率占已完成任务的2.8%；完成食品委托检验任务22批次，委托检验全部符合规定。2022年4月下旬省级下文我所承担药品、化妆品检验检测省级药品监督检验任务140批次，已完成抽样109批次，完成检验109批次，其中有1个不同批次的药品不合格，不合格率占已完成任务的0.92%；市级药品监督检验任务200批次，已完成抽样177批次，完成检验131批次，其中有2个不同批次的药品不合格，不合格率占已完成任务的1.53%；市级化妆品监督检验30批次在检验中，药品、化妆品检验任务预计11月中旬完成，药品委托检验:收到12家单位委托，已完成检验。协助市局抽检科制定抽检计划，食品秘书处完成了对全市各承检机构的检验数据抽查500份。</w:t>
            </w:r>
          </w:p>
          <w:p>
            <w:pPr>
              <w:pStyle w:val="6"/>
              <w:keepNext w:val="0"/>
              <w:keepLines w:val="0"/>
              <w:pageBreakBefore w:val="0"/>
              <w:kinsoku/>
              <w:wordWrap/>
              <w:overflowPunct/>
              <w:topLinePunct w:val="0"/>
              <w:autoSpaceDE/>
              <w:autoSpaceDN/>
              <w:bidi w:val="0"/>
              <w:spacing w:before="0" w:beforeAutospacing="0" w:after="0" w:afterAutospacing="0" w:line="500" w:lineRule="exact"/>
              <w:jc w:val="both"/>
              <w:textAlignment w:val="auto"/>
              <w:rPr>
                <w:rFonts w:hint="eastAsia" w:ascii="宋体" w:hAnsi="宋体" w:eastAsia="宋体" w:cs="宋体"/>
                <w:sz w:val="24"/>
                <w:szCs w:val="24"/>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存在的问题</w:t>
            </w:r>
          </w:p>
        </w:tc>
        <w:tc>
          <w:tcPr>
            <w:tcW w:w="6840"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一是绩效评价作为一个新的理念大部分人还没有意识到重要性，还不理解，存在单位财务部门忙于应付的情况。</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二是使用和管理口径不同造成财务部门核算的困惑，财务部门有时也无法指导资金的使用，在资金使用上具有被动性和不可知性；业务部门是单位的业务主力军，人手少，在资金使用时往往缺乏计划性，专项经费管理的理念也不强。</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三是在实际操作时，有些开支难以具体归类到哪个项目，这无形中也增加了财务人员的工作量。</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四是仪器设备不能满足检验需要。按照地市级食品药品检验所仪器基本配置要求，还需加购一些基本的仪器，确保全市食品药品安全。而我所为公益一类全额事业单位，并无财政拨款以外的收入来源。</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五是专业技术人员职称与岗位不足。</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改进措施</w:t>
            </w:r>
          </w:p>
        </w:tc>
        <w:tc>
          <w:tcPr>
            <w:tcW w:w="6840" w:type="dxa"/>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（一）科学合理编制预算，严格执行预算</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（二）完善管理制度，进一步加强资产管理</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进一步贯彻落实中央“八项规定”和湖南省委“九条规定”，建立本部门“三公经费”等公务支出管理制度及厉行节约制度，加强经费审批和控制，规范支出标准与范围，并严格执行。</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（三）加强新行政单位会计制度和新预算法学习培训</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四）进一步加强队伍建设。加强职工的思想行为意识教育，构筑高尚的价值观，规范和完善管理制度，同时建立公平合理的激励体系，全面提升人员素质；适时开展各种团队活动，通过组织各类兴趣小组并开展相应活动，以增加上、下级之间的沟通和交流，加深感情，提高默契度，以形成团队整体凝聚力，提高工作效率，在和谐的环境中充分发挥积极性，保证工作质量。</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五）进一步加强检验设施环境的建设。发展才是硬道理，我们在财政非常困难的情况下，投入大量资金，用于购买部分高精尖设备。如气质联用仪、液相色谱仪、各型检测器，使检验结果更具权威、准确和高效。</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六）进一步加大人才培养和引进的力度。在食品药品检测事业发展的进程中，人才是一笔宝贵的无形资产，进一步加大检验人员的培养和引进力度，充分调动人才的积极性、创造性，充分挖掘人才的潜力，发挥人才的聪明才智，为食药检事业的发展提供强有力的技术支撑。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七）苦练内功，加强实验室的管理。我们严格按《实验室资质认定评审准则》以及《食品药品检验机构资质认定评审准则》要求，修改建立新的质量手册、程序文件等，对《评审准则》的十九个要点作出了明确规定。所有检验工作严格按照文件要求执行，定期组织了内审和管理评审，确保管理体系的有效运行。</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r>
              <w:rPr>
                <w:rFonts w:hint="eastAsia" w:ascii="宋体" w:hAnsi="Arial" w:cs="宋体"/>
                <w:kern w:val="0"/>
                <w:sz w:val="24"/>
                <w:highlight w:val="white"/>
                <w:lang w:val="zh-CN"/>
              </w:rPr>
              <w:t>（八）积极争取上级部门和地方政府的支持。形成合力推进检验检测事业科学持续的开展。</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textAlignment w:val="auto"/>
              <w:rPr>
                <w:rFonts w:ascii="宋体" w:hAnsi="Arial" w:cs="宋体"/>
                <w:kern w:val="0"/>
                <w:sz w:val="24"/>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2088" w:type="dxa"/>
            <w:vAlign w:val="center"/>
          </w:tcPr>
          <w:p>
            <w:pPr>
              <w:spacing w:line="576" w:lineRule="exact"/>
              <w:jc w:val="center"/>
              <w:rPr>
                <w:rFonts w:ascii="方正仿宋简体" w:hAnsi="方正小标宋简体" w:eastAsia="方正仿宋简体" w:cs="方正小标宋简体"/>
                <w:sz w:val="21"/>
                <w:szCs w:val="21"/>
              </w:rPr>
            </w:pPr>
            <w:r>
              <w:rPr>
                <w:rFonts w:hint="eastAsia" w:ascii="方正仿宋简体" w:hAnsi="方正小标宋简体" w:eastAsia="方正仿宋简体" w:cs="方正小标宋简体"/>
                <w:sz w:val="21"/>
                <w:szCs w:val="21"/>
              </w:rPr>
              <w:t>其他需要说明问题</w:t>
            </w:r>
          </w:p>
        </w:tc>
        <w:tc>
          <w:tcPr>
            <w:tcW w:w="6840" w:type="dxa"/>
            <w:vAlign w:val="center"/>
          </w:tcPr>
          <w:p>
            <w:pPr>
              <w:spacing w:line="576" w:lineRule="exact"/>
              <w:jc w:val="center"/>
              <w:rPr>
                <w:rFonts w:ascii="方正小标宋简体" w:hAnsi="方正小标宋简体" w:eastAsia="方正小标宋简体" w:cs="方正小标宋简体"/>
                <w:sz w:val="21"/>
                <w:szCs w:val="21"/>
              </w:rPr>
            </w:pP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7A"/>
    <w:family w:val="script"/>
    <w:pitch w:val="default"/>
    <w:sig w:usb0="00000000" w:usb1="00000000" w:usb2="00000000" w:usb3="00000000" w:csb0="00040000" w:csb1="00000000"/>
  </w:font>
  <w:font w:name="方正仿宋简体">
    <w:altName w:val="微软雅黑"/>
    <w:panose1 w:val="00000000000000000000"/>
    <w:charset w:val="7A"/>
    <w:family w:val="script"/>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A7174"/>
    <w:multiLevelType w:val="singleLevel"/>
    <w:tmpl w:val="C02A7174"/>
    <w:lvl w:ilvl="0" w:tentative="0">
      <w:start w:val="3"/>
      <w:numFmt w:val="chineseCounting"/>
      <w:suff w:val="nothing"/>
      <w:lvlText w:val="%1、"/>
      <w:lvlJc w:val="left"/>
      <w:rPr>
        <w:rFonts w:hint="eastAsia"/>
      </w:rPr>
    </w:lvl>
  </w:abstractNum>
  <w:abstractNum w:abstractNumId="1">
    <w:nsid w:val="3D37E58E"/>
    <w:multiLevelType w:val="singleLevel"/>
    <w:tmpl w:val="3D37E58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2ZmU2OTc0YjE5YTlhMzQwYjA3M2FkZTM3YWJkM2QifQ=="/>
  </w:docVars>
  <w:rsids>
    <w:rsidRoot w:val="00DE581F"/>
    <w:rsid w:val="0008180C"/>
    <w:rsid w:val="00086ACE"/>
    <w:rsid w:val="000942C0"/>
    <w:rsid w:val="0011751A"/>
    <w:rsid w:val="001E3C7F"/>
    <w:rsid w:val="001E5B9A"/>
    <w:rsid w:val="002355C7"/>
    <w:rsid w:val="00287D6D"/>
    <w:rsid w:val="002A6653"/>
    <w:rsid w:val="00311337"/>
    <w:rsid w:val="0033502D"/>
    <w:rsid w:val="00337E2C"/>
    <w:rsid w:val="004D7E36"/>
    <w:rsid w:val="005002B8"/>
    <w:rsid w:val="00531284"/>
    <w:rsid w:val="005479A1"/>
    <w:rsid w:val="005A22B6"/>
    <w:rsid w:val="006B783E"/>
    <w:rsid w:val="006E0C71"/>
    <w:rsid w:val="00701B2C"/>
    <w:rsid w:val="0071028C"/>
    <w:rsid w:val="007B46FB"/>
    <w:rsid w:val="007B7AF6"/>
    <w:rsid w:val="00806790"/>
    <w:rsid w:val="008957C7"/>
    <w:rsid w:val="0094566F"/>
    <w:rsid w:val="00981186"/>
    <w:rsid w:val="009B7C2A"/>
    <w:rsid w:val="00A372AC"/>
    <w:rsid w:val="00A554FC"/>
    <w:rsid w:val="00B11991"/>
    <w:rsid w:val="00B1704A"/>
    <w:rsid w:val="00B66375"/>
    <w:rsid w:val="00B671A3"/>
    <w:rsid w:val="00B97D80"/>
    <w:rsid w:val="00BE2970"/>
    <w:rsid w:val="00C953E9"/>
    <w:rsid w:val="00CC2F3E"/>
    <w:rsid w:val="00D52546"/>
    <w:rsid w:val="00D60019"/>
    <w:rsid w:val="00DC3471"/>
    <w:rsid w:val="00DE581F"/>
    <w:rsid w:val="00E062D4"/>
    <w:rsid w:val="00E57513"/>
    <w:rsid w:val="00EA7D53"/>
    <w:rsid w:val="00F012F0"/>
    <w:rsid w:val="00F0285A"/>
    <w:rsid w:val="00F30247"/>
    <w:rsid w:val="00F34FB4"/>
    <w:rsid w:val="00F871D4"/>
    <w:rsid w:val="1EE45A1D"/>
    <w:rsid w:val="2EB60653"/>
    <w:rsid w:val="79602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3"/>
    <w:qFormat/>
    <w:uiPriority w:val="0"/>
    <w:rPr>
      <w:rFonts w:ascii="Calibri" w:hAnsi="Calibri"/>
      <w:sz w:val="21"/>
    </w:rPr>
  </w:style>
  <w:style w:type="paragraph" w:styleId="3">
    <w:name w:val="Body Text"/>
    <w:basedOn w:val="1"/>
    <w:qFormat/>
    <w:uiPriority w:val="1"/>
    <w:pPr>
      <w:spacing w:before="102"/>
      <w:ind w:left="112"/>
    </w:pPr>
    <w:rPr>
      <w:sz w:val="28"/>
      <w:szCs w:val="2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5"/>
    <w:semiHidden/>
    <w:qFormat/>
    <w:uiPriority w:val="99"/>
    <w:rPr>
      <w:rFonts w:ascii="Times New Roman" w:hAnsi="Times New Roman" w:eastAsia="宋体" w:cs="Times New Roman"/>
      <w:sz w:val="18"/>
      <w:szCs w:val="18"/>
    </w:rPr>
  </w:style>
  <w:style w:type="character" w:customStyle="1" w:styleId="12">
    <w:name w:val="页脚 Char"/>
    <w:basedOn w:val="8"/>
    <w:link w:val="4"/>
    <w:semiHidden/>
    <w:qFormat/>
    <w:uiPriority w:val="99"/>
    <w:rPr>
      <w:rFonts w:ascii="Times New Roman" w:hAnsi="Times New Roman" w:eastAsia="宋体" w:cs="Times New Roman"/>
      <w:sz w:val="18"/>
      <w:szCs w:val="18"/>
    </w:rPr>
  </w:style>
  <w:style w:type="character" w:customStyle="1" w:styleId="13">
    <w:name w:val="尾注文本 Char"/>
    <w:basedOn w:val="8"/>
    <w:link w:val="2"/>
    <w:qFormat/>
    <w:uiPriority w:val="0"/>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4322</Words>
  <Characters>4557</Characters>
  <Lines>35</Lines>
  <Paragraphs>9</Paragraphs>
  <TotalTime>2</TotalTime>
  <ScaleCrop>false</ScaleCrop>
  <LinksUpToDate>false</LinksUpToDate>
  <CharactersWithSpaces>4571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2022-05-24T08:20:00Z</dcterms:created>
  <dc:creator>Ding</dc:creator>
  <cp:lastModifiedBy>Administrator</cp:lastModifiedBy>
  <cp:lastPrinted>2023-06-05T03:52:39Z</cp:lastPrinted>
  <dcterms:modified xsi:type="dcterms:W3CDTF">2023-06-05T04:52:49Z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C46A5672BB5D4D2CBBE61BA15C2BD104_13</vt:lpwstr>
  </property>
</Properties>
</file>