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jc w:val="center"/>
        <w:rPr>
          <w:rFonts w:ascii="方正小标宋_GBK" w:hAnsi="Times New Roman" w:eastAsia="方正小标宋_GBK" w:cs="方正小标宋_GBK"/>
          <w:bCs/>
          <w:sz w:val="44"/>
          <w:szCs w:val="44"/>
        </w:rPr>
      </w:pPr>
      <w:r>
        <w:rPr>
          <w:rFonts w:hint="eastAsia" w:ascii="方正小标宋_GBK" w:hAnsi="Times New Roman" w:eastAsia="方正小标宋_GBK" w:cs="方正小标宋_GBK"/>
          <w:bCs/>
          <w:sz w:val="44"/>
          <w:szCs w:val="44"/>
        </w:rPr>
        <w:t>湘潭市产商品质量监督检验所</w:t>
      </w:r>
    </w:p>
    <w:p>
      <w:pPr>
        <w:tabs>
          <w:tab w:val="left" w:pos="6480"/>
        </w:tabs>
        <w:spacing w:line="540" w:lineRule="exact"/>
        <w:jc w:val="center"/>
        <w:rPr>
          <w:rFonts w:ascii="方正小标宋_GBK" w:eastAsia="方正小标宋_GBK" w:cs="方正小标宋_GBK"/>
          <w:bCs/>
          <w:sz w:val="44"/>
          <w:szCs w:val="44"/>
        </w:rPr>
      </w:pPr>
      <w:r>
        <w:rPr>
          <w:rFonts w:hint="eastAsia" w:ascii="方正小标宋_GBK" w:eastAsia="方正小标宋_GBK" w:cs="方正小标宋_GBK"/>
          <w:bCs/>
          <w:sz w:val="44"/>
          <w:szCs w:val="44"/>
        </w:rPr>
        <w:t>20</w:t>
      </w:r>
      <w:r>
        <w:rPr>
          <w:rFonts w:ascii="方正小标宋_GBK" w:eastAsia="方正小标宋_GBK" w:cs="方正小标宋_GBK"/>
          <w:bCs/>
          <w:sz w:val="44"/>
          <w:szCs w:val="44"/>
        </w:rPr>
        <w:t>2</w:t>
      </w:r>
      <w:r>
        <w:rPr>
          <w:rFonts w:hint="eastAsia" w:ascii="方正小标宋_GBK" w:eastAsia="方正小标宋_GBK" w:cs="方正小标宋_GBK"/>
          <w:bCs/>
          <w:sz w:val="44"/>
          <w:szCs w:val="44"/>
        </w:rPr>
        <w:t>1年部门整体支出绩效评价报告</w:t>
      </w:r>
    </w:p>
    <w:p>
      <w:pPr>
        <w:tabs>
          <w:tab w:val="left" w:pos="6480"/>
        </w:tabs>
        <w:spacing w:line="540" w:lineRule="exact"/>
        <w:jc w:val="center"/>
        <w:rPr>
          <w:rFonts w:ascii="方正小标宋_GBK" w:eastAsia="方正小标宋_GBK" w:cs="方正小标宋_GBK"/>
          <w:sz w:val="44"/>
          <w:szCs w:val="44"/>
        </w:rPr>
      </w:pP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76"/>
        <w:gridCol w:w="6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restart"/>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部门概况</w:t>
            </w: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单位</w:t>
            </w:r>
          </w:p>
          <w:p>
            <w:pPr>
              <w:spacing w:line="540" w:lineRule="exact"/>
              <w:jc w:val="center"/>
              <w:rPr>
                <w:rFonts w:ascii="仿宋_GB2312" w:eastAsia="仿宋_GB2312" w:cs="宋体"/>
                <w:sz w:val="32"/>
                <w:szCs w:val="32"/>
              </w:rPr>
            </w:pPr>
            <w:r>
              <w:rPr>
                <w:rFonts w:hint="eastAsia" w:ascii="仿宋_GB2312" w:eastAsia="仿宋_GB2312" w:cs="宋体"/>
                <w:sz w:val="32"/>
                <w:szCs w:val="32"/>
              </w:rPr>
              <w:t>名称</w:t>
            </w:r>
          </w:p>
        </w:tc>
        <w:tc>
          <w:tcPr>
            <w:tcW w:w="6917" w:type="dxa"/>
            <w:vAlign w:val="center"/>
          </w:tcPr>
          <w:p>
            <w:pPr>
              <w:spacing w:line="540" w:lineRule="exact"/>
              <w:ind w:right="880" w:rightChars="419"/>
              <w:jc w:val="center"/>
              <w:rPr>
                <w:rFonts w:ascii="仿宋_GB2312" w:eastAsia="仿宋_GB2312" w:cs="宋体"/>
                <w:sz w:val="32"/>
                <w:szCs w:val="32"/>
              </w:rPr>
            </w:pPr>
            <w:r>
              <w:rPr>
                <w:rFonts w:hint="eastAsia" w:ascii="仿宋_GB2312" w:hAnsi="仿宋" w:eastAsia="仿宋_GB2312" w:cs="方正小标宋简体"/>
                <w:b/>
                <w:sz w:val="32"/>
                <w:szCs w:val="32"/>
              </w:rPr>
              <w:t>湘潭市产商品质量监督检验所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年度预算金额</w:t>
            </w:r>
          </w:p>
        </w:tc>
        <w:tc>
          <w:tcPr>
            <w:tcW w:w="6917" w:type="dxa"/>
            <w:vAlign w:val="center"/>
          </w:tcPr>
          <w:p>
            <w:pPr>
              <w:spacing w:line="540" w:lineRule="exact"/>
              <w:ind w:right="880" w:rightChars="419"/>
              <w:jc w:val="center"/>
              <w:rPr>
                <w:rFonts w:ascii="仿宋_GB2312" w:eastAsia="仿宋_GB2312" w:cs="宋体"/>
                <w:sz w:val="32"/>
                <w:szCs w:val="32"/>
              </w:rPr>
            </w:pPr>
            <w:r>
              <w:rPr>
                <w:rFonts w:hint="eastAsia" w:ascii="仿宋_GB2312" w:eastAsia="仿宋_GB2312" w:cs="仿宋"/>
                <w:sz w:val="32"/>
                <w:szCs w:val="32"/>
              </w:rPr>
              <w:t>622.3</w:t>
            </w:r>
            <w:r>
              <w:rPr>
                <w:rFonts w:hint="eastAsia" w:ascii="仿宋_GB2312" w:eastAsia="仿宋_GB2312" w:cs="仿宋"/>
                <w:sz w:val="32"/>
                <w:szCs w:val="32"/>
                <w:lang w:val="en-US" w:eastAsia="zh-CN"/>
              </w:rPr>
              <w:t>1</w:t>
            </w:r>
            <w:r>
              <w:rPr>
                <w:rFonts w:hint="eastAsia" w:ascii="仿宋" w:hAnsi="仿宋" w:eastAsia="仿宋" w:cs="方正小标宋简体"/>
                <w:sz w:val="32"/>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主管</w:t>
            </w:r>
          </w:p>
          <w:p>
            <w:pPr>
              <w:spacing w:line="540" w:lineRule="exact"/>
              <w:jc w:val="center"/>
              <w:rPr>
                <w:rFonts w:ascii="仿宋_GB2312" w:eastAsia="仿宋_GB2312" w:cs="宋体"/>
                <w:sz w:val="32"/>
                <w:szCs w:val="32"/>
              </w:rPr>
            </w:pPr>
            <w:r>
              <w:rPr>
                <w:rFonts w:hint="eastAsia" w:ascii="仿宋_GB2312" w:eastAsia="仿宋_GB2312" w:cs="宋体"/>
                <w:sz w:val="32"/>
                <w:szCs w:val="32"/>
              </w:rPr>
              <w:t>部门</w:t>
            </w:r>
          </w:p>
        </w:tc>
        <w:tc>
          <w:tcPr>
            <w:tcW w:w="6917" w:type="dxa"/>
            <w:vAlign w:val="center"/>
          </w:tcPr>
          <w:p>
            <w:pPr>
              <w:spacing w:line="540" w:lineRule="exact"/>
              <w:ind w:right="880" w:rightChars="419"/>
              <w:jc w:val="center"/>
              <w:rPr>
                <w:rFonts w:ascii="仿宋_GB2312" w:eastAsia="仿宋_GB2312" w:cs="宋体"/>
                <w:sz w:val="32"/>
                <w:szCs w:val="32"/>
              </w:rPr>
            </w:pPr>
            <w:r>
              <w:rPr>
                <w:rFonts w:hint="eastAsia" w:ascii="仿宋_GB2312" w:eastAsia="仿宋_GB2312" w:cs="宋体"/>
                <w:sz w:val="32"/>
                <w:szCs w:val="32"/>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单位基本职能</w:t>
            </w:r>
          </w:p>
        </w:tc>
        <w:tc>
          <w:tcPr>
            <w:tcW w:w="6917" w:type="dxa"/>
            <w:vAlign w:val="center"/>
          </w:tcPr>
          <w:p>
            <w:pPr>
              <w:spacing w:line="540" w:lineRule="exact"/>
              <w:ind w:firstLine="641"/>
              <w:rPr>
                <w:rFonts w:ascii="仿宋_GB2312" w:eastAsia="仿宋_GB2312" w:cs="仿宋"/>
                <w:sz w:val="32"/>
                <w:szCs w:val="32"/>
              </w:rPr>
            </w:pPr>
            <w:r>
              <w:rPr>
                <w:rFonts w:hint="eastAsia" w:ascii="仿宋_GB2312" w:eastAsia="仿宋_GB2312" w:cs="仿宋"/>
                <w:b/>
                <w:sz w:val="32"/>
                <w:szCs w:val="32"/>
              </w:rPr>
              <w:t>湘潭市产商品质量监督检验所:</w:t>
            </w:r>
            <w:r>
              <w:rPr>
                <w:rFonts w:hint="eastAsia" w:ascii="仿宋_GB2312" w:eastAsia="仿宋_GB2312" w:cs="仿宋"/>
                <w:sz w:val="32"/>
                <w:szCs w:val="32"/>
              </w:rPr>
              <w:t>承担上级下达的产品质量监督抽查相关工作；在检验资质范围内，依法接受委托承担有关产品质量的检验工作；协助市局质量技术监督部门开展生产领域的监督执法和突发事件的应急处置工作；协助市局质量技术监督部门开展有关产品的标准研究、起草工作。</w:t>
            </w:r>
          </w:p>
          <w:p>
            <w:pPr>
              <w:spacing w:line="540" w:lineRule="exact"/>
              <w:ind w:firstLine="641"/>
              <w:rPr>
                <w:rFonts w:ascii="仿宋_GB2312" w:eastAsia="仿宋_GB2312" w:cs="仿宋"/>
                <w:sz w:val="32"/>
                <w:szCs w:val="32"/>
              </w:rPr>
            </w:pPr>
            <w:r>
              <w:rPr>
                <w:rFonts w:hint="eastAsia" w:ascii="仿宋_GB2312" w:eastAsia="仿宋_GB2312" w:cs="仿宋"/>
                <w:b/>
                <w:sz w:val="32"/>
                <w:szCs w:val="32"/>
              </w:rPr>
              <w:t>湘潭</w:t>
            </w:r>
            <w:r>
              <w:rPr>
                <w:rFonts w:ascii="仿宋_GB2312" w:eastAsia="仿宋_GB2312" w:cs="仿宋"/>
                <w:b/>
                <w:sz w:val="32"/>
                <w:szCs w:val="32"/>
              </w:rPr>
              <w:t>市</w:t>
            </w:r>
            <w:r>
              <w:rPr>
                <w:rFonts w:hint="eastAsia" w:ascii="仿宋_GB2312" w:eastAsia="仿宋_GB2312" w:cs="仿宋"/>
                <w:b/>
                <w:sz w:val="32"/>
                <w:szCs w:val="32"/>
              </w:rPr>
              <w:t>工矿电传动车辆质量检验中心：</w:t>
            </w:r>
            <w:r>
              <w:rPr>
                <w:rFonts w:hint="eastAsia" w:ascii="仿宋_GB2312" w:eastAsia="仿宋_GB2312" w:cs="仿宋"/>
                <w:sz w:val="32"/>
                <w:szCs w:val="32"/>
              </w:rPr>
              <w:t>承担国家下达的工矿电传动车辆产品质量监督抽查相关工作；在检验资质范围内，依法接受委托承担工矿电传动车辆产品质量的检验工作，向社会提供公正检验测试服务；开展工矿电传动车辆产品质量检验检测技术研究开发；承担工矿电传动车辆产品质量有关标准（规程）的试验验证及制（修）订工作；协助市局质量技术监督部门开展工矿电传动车辆产品生产领域的监督执法和突发事件的应急处置工作。</w:t>
            </w:r>
          </w:p>
          <w:p>
            <w:pPr>
              <w:spacing w:line="540" w:lineRule="exact"/>
              <w:ind w:firstLine="643" w:firstLineChars="200"/>
              <w:rPr>
                <w:rFonts w:ascii="仿宋_GB2312" w:eastAsia="仿宋_GB2312"/>
                <w:sz w:val="32"/>
                <w:szCs w:val="32"/>
              </w:rPr>
            </w:pPr>
            <w:r>
              <w:rPr>
                <w:rFonts w:hint="eastAsia" w:ascii="仿宋_GB2312" w:eastAsia="仿宋_GB2312"/>
                <w:b/>
                <w:sz w:val="32"/>
                <w:szCs w:val="32"/>
              </w:rPr>
              <w:t>湘潭市产商品质量监督检验所与国</w:t>
            </w:r>
            <w:r>
              <w:rPr>
                <w:rFonts w:ascii="仿宋_GB2312" w:eastAsia="仿宋_GB2312"/>
                <w:b/>
                <w:sz w:val="32"/>
                <w:szCs w:val="32"/>
              </w:rPr>
              <w:t>家</w:t>
            </w:r>
            <w:r>
              <w:rPr>
                <w:rFonts w:hint="eastAsia" w:ascii="仿宋_GB2312" w:eastAsia="仿宋_GB2312"/>
                <w:b/>
                <w:sz w:val="32"/>
                <w:szCs w:val="32"/>
              </w:rPr>
              <w:t>工矿电传动车辆质量监督检验中心合署办公。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restart"/>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绩效完成情况</w:t>
            </w: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部门整体支出管理和使用基本情况</w:t>
            </w:r>
          </w:p>
        </w:tc>
        <w:tc>
          <w:tcPr>
            <w:tcW w:w="6917" w:type="dxa"/>
            <w:vAlign w:val="center"/>
          </w:tcPr>
          <w:p>
            <w:pPr>
              <w:tabs>
                <w:tab w:val="left" w:pos="900"/>
              </w:tabs>
              <w:spacing w:line="540" w:lineRule="exact"/>
              <w:ind w:left="1" w:firstLine="716" w:firstLineChars="224"/>
              <w:rPr>
                <w:rFonts w:ascii="仿宋_GB2312" w:eastAsia="仿宋_GB2312" w:cs="仿宋"/>
                <w:sz w:val="32"/>
                <w:szCs w:val="32"/>
              </w:rPr>
            </w:pPr>
            <w:r>
              <w:rPr>
                <w:rFonts w:hint="eastAsia" w:ascii="仿宋_GB2312" w:eastAsia="仿宋_GB2312" w:cs="仿宋"/>
                <w:sz w:val="32"/>
                <w:szCs w:val="32"/>
              </w:rPr>
              <w:t>一、预算情况</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1、年初预算情况</w:t>
            </w:r>
          </w:p>
          <w:p>
            <w:pPr>
              <w:tabs>
                <w:tab w:val="left" w:pos="900"/>
              </w:tabs>
              <w:spacing w:line="520" w:lineRule="exact"/>
              <w:ind w:left="1" w:firstLine="716" w:firstLineChars="224"/>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1年度年初部门预算为590.3</w:t>
            </w:r>
            <w:r>
              <w:rPr>
                <w:rFonts w:hint="eastAsia" w:ascii="仿宋_GB2312" w:eastAsia="仿宋_GB2312" w:cs="仿宋"/>
                <w:sz w:val="32"/>
                <w:szCs w:val="32"/>
                <w:lang w:val="en-US" w:eastAsia="zh-CN"/>
              </w:rPr>
              <w:t>1</w:t>
            </w:r>
            <w:r>
              <w:rPr>
                <w:rFonts w:hint="eastAsia" w:ascii="仿宋_GB2312" w:eastAsia="仿宋_GB2312" w:cs="仿宋"/>
                <w:sz w:val="32"/>
                <w:szCs w:val="32"/>
              </w:rPr>
              <w:t>万元，其中财政拨款590.3</w:t>
            </w:r>
            <w:r>
              <w:rPr>
                <w:rFonts w:hint="eastAsia" w:ascii="仿宋_GB2312" w:eastAsia="仿宋_GB2312" w:cs="仿宋"/>
                <w:sz w:val="32"/>
                <w:szCs w:val="32"/>
                <w:lang w:val="en-US" w:eastAsia="zh-CN"/>
              </w:rPr>
              <w:t>1</w:t>
            </w:r>
            <w:r>
              <w:rPr>
                <w:rFonts w:hint="eastAsia" w:ascii="仿宋_GB2312" w:eastAsia="仿宋_GB2312" w:cs="仿宋"/>
                <w:sz w:val="32"/>
                <w:szCs w:val="32"/>
              </w:rPr>
              <w:t>万元，非税收入0万元。预算中基本支出302.5</w:t>
            </w:r>
            <w:r>
              <w:rPr>
                <w:rFonts w:hint="eastAsia" w:ascii="仿宋_GB2312" w:eastAsia="仿宋_GB2312" w:cs="仿宋"/>
                <w:sz w:val="32"/>
                <w:szCs w:val="32"/>
                <w:lang w:val="en-US" w:eastAsia="zh-CN"/>
              </w:rPr>
              <w:t>4</w:t>
            </w:r>
            <w:r>
              <w:rPr>
                <w:rFonts w:hint="eastAsia" w:ascii="仿宋_GB2312" w:eastAsia="仿宋_GB2312" w:cs="仿宋"/>
                <w:sz w:val="32"/>
                <w:szCs w:val="32"/>
              </w:rPr>
              <w:t>万元，项目支出287.77万元。基本支出中工资福利支出256.1</w:t>
            </w:r>
            <w:r>
              <w:rPr>
                <w:rFonts w:hint="eastAsia" w:ascii="仿宋_GB2312" w:eastAsia="仿宋_GB2312" w:cs="仿宋"/>
                <w:sz w:val="32"/>
                <w:szCs w:val="32"/>
                <w:lang w:val="en-US" w:eastAsia="zh-CN"/>
              </w:rPr>
              <w:t>2</w:t>
            </w:r>
            <w:r>
              <w:rPr>
                <w:rFonts w:hint="eastAsia" w:ascii="仿宋_GB2312" w:eastAsia="仿宋_GB2312" w:cs="仿宋"/>
                <w:sz w:val="32"/>
                <w:szCs w:val="32"/>
              </w:rPr>
              <w:t>万元，商品和服务支出36.88万元，对个人和家庭的补助支出9.54万元。项目支出中业务性专项307.78万元，其中财政拨款307.78万元，非税收入0万元。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2、年中追加和调减预算情况</w:t>
            </w:r>
          </w:p>
          <w:p>
            <w:pPr>
              <w:tabs>
                <w:tab w:val="left" w:pos="900"/>
              </w:tabs>
              <w:spacing w:line="520" w:lineRule="exact"/>
              <w:ind w:left="1" w:firstLine="716" w:firstLineChars="224"/>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1年度预算调增2020年绩效考核奖12万元，2021年省级市场监督管理专项资金20万元。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3、全年总预算情况</w:t>
            </w:r>
          </w:p>
          <w:p>
            <w:pPr>
              <w:tabs>
                <w:tab w:val="left" w:pos="900"/>
              </w:tabs>
              <w:spacing w:line="520" w:lineRule="exact"/>
              <w:ind w:left="1" w:firstLine="716" w:firstLineChars="224"/>
              <w:rPr>
                <w:rFonts w:hint="eastAsia" w:ascii="仿宋_GB2312" w:eastAsia="仿宋_GB2312" w:cs="仿宋"/>
                <w:sz w:val="32"/>
                <w:szCs w:val="32"/>
                <w:lang w:eastAsia="zh-CN"/>
              </w:rPr>
            </w:pPr>
            <w:r>
              <w:rPr>
                <w:rFonts w:hint="eastAsia" w:ascii="仿宋_GB2312" w:eastAsia="仿宋_GB2312" w:cs="仿宋"/>
                <w:sz w:val="32"/>
                <w:szCs w:val="32"/>
              </w:rPr>
              <w:t>全年财政预算拨款合计622.3</w:t>
            </w:r>
            <w:r>
              <w:rPr>
                <w:rFonts w:hint="eastAsia" w:ascii="仿宋_GB2312" w:eastAsia="仿宋_GB2312" w:cs="仿宋"/>
                <w:sz w:val="32"/>
                <w:szCs w:val="32"/>
                <w:lang w:val="en-US" w:eastAsia="zh-CN"/>
              </w:rPr>
              <w:t>1</w:t>
            </w:r>
            <w:r>
              <w:rPr>
                <w:rFonts w:hint="eastAsia" w:ascii="仿宋_GB2312" w:eastAsia="仿宋_GB2312" w:cs="仿宋"/>
                <w:sz w:val="32"/>
                <w:szCs w:val="32"/>
              </w:rPr>
              <w:t>万元</w:t>
            </w:r>
            <w:r>
              <w:rPr>
                <w:rFonts w:hint="eastAsia" w:ascii="仿宋_GB2312" w:eastAsia="仿宋_GB2312" w:cs="仿宋"/>
                <w:sz w:val="32"/>
                <w:szCs w:val="32"/>
                <w:lang w:eastAsia="zh-CN"/>
              </w:rPr>
              <w:t>；</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lang w:val="en-US" w:eastAsia="zh-CN"/>
              </w:rPr>
              <w:t>4、</w:t>
            </w:r>
            <w:r>
              <w:rPr>
                <w:rFonts w:ascii="仿宋_GB2312" w:eastAsia="仿宋_GB2312" w:cs="仿宋"/>
                <w:sz w:val="32"/>
                <w:szCs w:val="32"/>
              </w:rPr>
              <w:t>事业收入</w:t>
            </w:r>
            <w:r>
              <w:rPr>
                <w:rFonts w:hint="eastAsia" w:ascii="仿宋_GB2312" w:eastAsia="仿宋_GB2312" w:cs="仿宋"/>
                <w:sz w:val="32"/>
                <w:szCs w:val="32"/>
              </w:rPr>
              <w:t>42.00万元。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lang w:val="en-US" w:eastAsia="zh-CN"/>
              </w:rPr>
              <w:t>5</w:t>
            </w:r>
            <w:r>
              <w:rPr>
                <w:rFonts w:hint="eastAsia" w:ascii="仿宋_GB2312" w:eastAsia="仿宋_GB2312" w:cs="仿宋"/>
                <w:sz w:val="32"/>
                <w:szCs w:val="32"/>
              </w:rPr>
              <w:t>、三公经费预算情况</w:t>
            </w:r>
          </w:p>
          <w:p>
            <w:pPr>
              <w:tabs>
                <w:tab w:val="left" w:pos="900"/>
              </w:tabs>
              <w:spacing w:line="520" w:lineRule="exact"/>
              <w:ind w:left="1" w:firstLine="716" w:firstLineChars="224"/>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w:t>
            </w:r>
            <w:r>
              <w:rPr>
                <w:rFonts w:ascii="仿宋_GB2312" w:eastAsia="仿宋_GB2312" w:cs="仿宋"/>
                <w:sz w:val="32"/>
                <w:szCs w:val="32"/>
              </w:rPr>
              <w:t>三公经费预算</w:t>
            </w:r>
            <w:r>
              <w:rPr>
                <w:rFonts w:hint="eastAsia" w:ascii="仿宋_GB2312" w:eastAsia="仿宋_GB2312" w:cs="仿宋"/>
                <w:sz w:val="32"/>
                <w:szCs w:val="32"/>
              </w:rPr>
              <w:t>数为</w:t>
            </w:r>
            <w:r>
              <w:rPr>
                <w:rFonts w:ascii="仿宋_GB2312" w:eastAsia="仿宋_GB2312" w:cs="仿宋"/>
                <w:sz w:val="32"/>
                <w:szCs w:val="32"/>
              </w:rPr>
              <w:t>11.24</w:t>
            </w:r>
            <w:r>
              <w:rPr>
                <w:rFonts w:hint="eastAsia" w:ascii="仿宋_GB2312" w:eastAsia="仿宋_GB2312" w:cs="仿宋"/>
                <w:sz w:val="32"/>
                <w:szCs w:val="32"/>
              </w:rPr>
              <w:t>万元，其中公务接待费</w:t>
            </w:r>
            <w:r>
              <w:rPr>
                <w:rFonts w:ascii="仿宋_GB2312" w:eastAsia="仿宋_GB2312" w:cs="仿宋"/>
                <w:sz w:val="32"/>
                <w:szCs w:val="32"/>
              </w:rPr>
              <w:t>1.64</w:t>
            </w:r>
            <w:r>
              <w:rPr>
                <w:rFonts w:hint="eastAsia" w:ascii="仿宋_GB2312" w:eastAsia="仿宋_GB2312" w:cs="仿宋"/>
                <w:sz w:val="32"/>
                <w:szCs w:val="32"/>
              </w:rPr>
              <w:t>万元，公务用车运行维护费</w:t>
            </w:r>
            <w:r>
              <w:rPr>
                <w:rFonts w:ascii="仿宋_GB2312" w:eastAsia="仿宋_GB2312" w:cs="仿宋"/>
                <w:sz w:val="32"/>
                <w:szCs w:val="32"/>
              </w:rPr>
              <w:t>9.60</w:t>
            </w:r>
            <w:r>
              <w:rPr>
                <w:rFonts w:hint="eastAsia" w:ascii="仿宋_GB2312" w:eastAsia="仿宋_GB2312" w:cs="仿宋"/>
                <w:sz w:val="32"/>
                <w:szCs w:val="32"/>
              </w:rPr>
              <w:t>万元，出国（境）费0元。</w:t>
            </w:r>
          </w:p>
          <w:p>
            <w:pPr>
              <w:tabs>
                <w:tab w:val="left" w:pos="900"/>
              </w:tabs>
              <w:spacing w:line="540" w:lineRule="exact"/>
              <w:ind w:left="1" w:firstLine="716" w:firstLineChars="224"/>
              <w:rPr>
                <w:rFonts w:ascii="仿宋_GB2312" w:eastAsia="仿宋_GB2312" w:cs="仿宋"/>
                <w:sz w:val="32"/>
                <w:szCs w:val="32"/>
              </w:rPr>
            </w:pPr>
            <w:r>
              <w:rPr>
                <w:rFonts w:hint="eastAsia" w:ascii="仿宋_GB2312" w:eastAsia="仿宋_GB2312" w:cs="仿宋"/>
                <w:sz w:val="32"/>
                <w:szCs w:val="32"/>
              </w:rPr>
              <w:t>二、预算资金执行情况</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1、基本支出执行情况</w:t>
            </w:r>
          </w:p>
          <w:p>
            <w:pPr>
              <w:tabs>
                <w:tab w:val="left" w:pos="900"/>
              </w:tabs>
              <w:spacing w:line="520" w:lineRule="exact"/>
              <w:ind w:left="1" w:firstLine="716" w:firstLineChars="224"/>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1年度年初部门预算安排基本支出302.53万元，年</w:t>
            </w:r>
            <w:r>
              <w:rPr>
                <w:rFonts w:ascii="仿宋_GB2312" w:eastAsia="仿宋_GB2312" w:cs="仿宋"/>
                <w:sz w:val="32"/>
                <w:szCs w:val="32"/>
              </w:rPr>
              <w:t>中</w:t>
            </w:r>
            <w:r>
              <w:rPr>
                <w:rFonts w:hint="eastAsia" w:ascii="仿宋_GB2312" w:eastAsia="仿宋_GB2312" w:cs="仿宋"/>
                <w:sz w:val="32"/>
                <w:szCs w:val="32"/>
              </w:rPr>
              <w:t>调增12.12万元，合计314.65万元。其中工资福利支出268.11万元，商品和服务支出</w:t>
            </w:r>
            <w:r>
              <w:rPr>
                <w:rFonts w:ascii="仿宋_GB2312" w:eastAsia="仿宋_GB2312" w:cs="仿宋"/>
                <w:sz w:val="32"/>
                <w:szCs w:val="32"/>
              </w:rPr>
              <w:t>3</w:t>
            </w:r>
            <w:r>
              <w:rPr>
                <w:rFonts w:hint="eastAsia" w:ascii="仿宋_GB2312" w:eastAsia="仿宋_GB2312" w:cs="仿宋"/>
                <w:sz w:val="32"/>
                <w:szCs w:val="32"/>
              </w:rPr>
              <w:t>7万元，对个人和家庭补助支出</w:t>
            </w:r>
            <w:r>
              <w:rPr>
                <w:rFonts w:ascii="仿宋_GB2312" w:eastAsia="仿宋_GB2312" w:cs="仿宋"/>
                <w:sz w:val="32"/>
                <w:szCs w:val="32"/>
              </w:rPr>
              <w:t>9.</w:t>
            </w:r>
            <w:r>
              <w:rPr>
                <w:rFonts w:hint="eastAsia" w:ascii="仿宋_GB2312" w:eastAsia="仿宋_GB2312" w:cs="仿宋"/>
                <w:sz w:val="32"/>
                <w:szCs w:val="32"/>
              </w:rPr>
              <w:t>5</w:t>
            </w:r>
            <w:r>
              <w:rPr>
                <w:rFonts w:ascii="仿宋_GB2312" w:eastAsia="仿宋_GB2312" w:cs="仿宋"/>
                <w:sz w:val="32"/>
                <w:szCs w:val="32"/>
              </w:rPr>
              <w:t>4</w:t>
            </w:r>
            <w:r>
              <w:rPr>
                <w:rFonts w:hint="eastAsia" w:ascii="仿宋_GB2312" w:eastAsia="仿宋_GB2312" w:cs="仿宋"/>
                <w:sz w:val="32"/>
                <w:szCs w:val="32"/>
              </w:rPr>
              <w:t>万元。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一般公共预算基本支出实际发生数为</w:t>
            </w:r>
            <w:r>
              <w:rPr>
                <w:rFonts w:ascii="仿宋_GB2312" w:eastAsia="仿宋_GB2312" w:cs="仿宋"/>
                <w:sz w:val="32"/>
                <w:szCs w:val="32"/>
              </w:rPr>
              <w:t>332.01</w:t>
            </w:r>
            <w:r>
              <w:rPr>
                <w:rFonts w:hint="eastAsia" w:ascii="仿宋_GB2312" w:eastAsia="仿宋_GB2312" w:cs="仿宋"/>
                <w:sz w:val="32"/>
                <w:szCs w:val="32"/>
              </w:rPr>
              <w:t>万元。其中工资福利支出3</w:t>
            </w:r>
            <w:r>
              <w:rPr>
                <w:rFonts w:ascii="仿宋_GB2312" w:eastAsia="仿宋_GB2312" w:cs="仿宋"/>
                <w:sz w:val="32"/>
                <w:szCs w:val="32"/>
              </w:rPr>
              <w:t>00.26</w:t>
            </w:r>
            <w:r>
              <w:rPr>
                <w:rFonts w:hint="eastAsia" w:ascii="仿宋_GB2312" w:eastAsia="仿宋_GB2312" w:cs="仿宋"/>
                <w:sz w:val="32"/>
                <w:szCs w:val="32"/>
              </w:rPr>
              <w:t>万元，商品和服务支出18.</w:t>
            </w:r>
            <w:r>
              <w:rPr>
                <w:rFonts w:ascii="仿宋_GB2312" w:eastAsia="仿宋_GB2312" w:cs="仿宋"/>
                <w:sz w:val="32"/>
                <w:szCs w:val="32"/>
              </w:rPr>
              <w:t>97</w:t>
            </w:r>
            <w:r>
              <w:rPr>
                <w:rFonts w:hint="eastAsia" w:ascii="仿宋_GB2312" w:eastAsia="仿宋_GB2312" w:cs="仿宋"/>
                <w:sz w:val="32"/>
                <w:szCs w:val="32"/>
              </w:rPr>
              <w:t>万元，对个人和家庭补助支出</w:t>
            </w:r>
            <w:r>
              <w:rPr>
                <w:rFonts w:ascii="仿宋_GB2312" w:eastAsia="仿宋_GB2312" w:cs="仿宋"/>
                <w:sz w:val="32"/>
                <w:szCs w:val="32"/>
              </w:rPr>
              <w:t>12.78</w:t>
            </w:r>
            <w:r>
              <w:rPr>
                <w:rFonts w:hint="eastAsia" w:ascii="仿宋_GB2312" w:eastAsia="仿宋_GB2312" w:cs="仿宋"/>
                <w:sz w:val="32"/>
                <w:szCs w:val="32"/>
              </w:rPr>
              <w:t>万元。</w:t>
            </w:r>
          </w:p>
          <w:p>
            <w:pPr>
              <w:tabs>
                <w:tab w:val="left" w:pos="900"/>
              </w:tabs>
              <w:spacing w:line="520" w:lineRule="exact"/>
              <w:ind w:left="1" w:firstLine="716" w:firstLineChars="224"/>
              <w:rPr>
                <w:rFonts w:ascii="仿宋_GB2312" w:eastAsia="仿宋_GB2312" w:cs="仿宋"/>
                <w:color w:val="C00000"/>
                <w:sz w:val="32"/>
                <w:szCs w:val="32"/>
              </w:rPr>
            </w:pPr>
            <w:r>
              <w:rPr>
                <w:rFonts w:hint="eastAsia" w:ascii="仿宋_GB2312" w:eastAsia="仿宋_GB2312" w:cs="仿宋"/>
                <w:sz w:val="32"/>
                <w:szCs w:val="32"/>
              </w:rPr>
              <w:t>全年总支出实际发生额与年度总预算安排比例为110%。主要原因：工资</w:t>
            </w:r>
            <w:r>
              <w:rPr>
                <w:rFonts w:ascii="仿宋_GB2312" w:eastAsia="仿宋_GB2312" w:cs="仿宋"/>
                <w:sz w:val="32"/>
                <w:szCs w:val="32"/>
              </w:rPr>
              <w:t>福利支出中</w:t>
            </w:r>
            <w:r>
              <w:rPr>
                <w:rFonts w:hint="eastAsia" w:ascii="仿宋_GB2312" w:eastAsia="仿宋_GB2312" w:cs="仿宋"/>
                <w:sz w:val="32"/>
                <w:szCs w:val="32"/>
              </w:rPr>
              <w:t>社</w:t>
            </w:r>
            <w:r>
              <w:rPr>
                <w:rFonts w:ascii="仿宋_GB2312" w:eastAsia="仿宋_GB2312" w:cs="仿宋"/>
                <w:sz w:val="32"/>
                <w:szCs w:val="32"/>
              </w:rPr>
              <w:t>会保险和住房公积金</w:t>
            </w:r>
            <w:r>
              <w:rPr>
                <w:rFonts w:hint="eastAsia" w:ascii="仿宋_GB2312" w:eastAsia="仿宋_GB2312" w:cs="仿宋"/>
                <w:sz w:val="32"/>
                <w:szCs w:val="32"/>
              </w:rPr>
              <w:t>的</w:t>
            </w:r>
            <w:r>
              <w:rPr>
                <w:rFonts w:ascii="仿宋_GB2312" w:eastAsia="仿宋_GB2312" w:cs="仿宋"/>
                <w:sz w:val="32"/>
                <w:szCs w:val="32"/>
              </w:rPr>
              <w:t>计算基数</w:t>
            </w:r>
            <w:r>
              <w:rPr>
                <w:rFonts w:hint="eastAsia" w:ascii="仿宋_GB2312" w:eastAsia="仿宋_GB2312" w:cs="仿宋"/>
                <w:sz w:val="32"/>
                <w:szCs w:val="32"/>
              </w:rPr>
              <w:t>高</w:t>
            </w:r>
            <w:r>
              <w:rPr>
                <w:rFonts w:ascii="仿宋_GB2312" w:eastAsia="仿宋_GB2312" w:cs="仿宋"/>
                <w:sz w:val="32"/>
                <w:szCs w:val="32"/>
              </w:rPr>
              <w:t>于</w:t>
            </w:r>
            <w:r>
              <w:rPr>
                <w:rFonts w:hint="eastAsia" w:ascii="仿宋_GB2312" w:eastAsia="仿宋_GB2312" w:cs="仿宋"/>
                <w:sz w:val="32"/>
                <w:szCs w:val="32"/>
              </w:rPr>
              <w:t>预算基数。</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“三公经费”预算数为</w:t>
            </w:r>
            <w:r>
              <w:rPr>
                <w:rFonts w:ascii="仿宋_GB2312" w:eastAsia="仿宋_GB2312" w:cs="仿宋"/>
                <w:sz w:val="32"/>
                <w:szCs w:val="32"/>
              </w:rPr>
              <w:t>11</w:t>
            </w:r>
            <w:r>
              <w:rPr>
                <w:rFonts w:hint="eastAsia" w:ascii="仿宋_GB2312" w:eastAsia="仿宋_GB2312" w:cs="仿宋"/>
                <w:sz w:val="32"/>
                <w:szCs w:val="32"/>
              </w:rPr>
              <w:t>.</w:t>
            </w:r>
            <w:r>
              <w:rPr>
                <w:rFonts w:ascii="仿宋_GB2312" w:eastAsia="仿宋_GB2312" w:cs="仿宋"/>
                <w:sz w:val="32"/>
                <w:szCs w:val="32"/>
              </w:rPr>
              <w:t>24</w:t>
            </w:r>
            <w:r>
              <w:rPr>
                <w:rFonts w:hint="eastAsia" w:ascii="仿宋_GB2312" w:eastAsia="仿宋_GB2312" w:cs="仿宋"/>
                <w:sz w:val="32"/>
                <w:szCs w:val="32"/>
              </w:rPr>
              <w:t>万元，其中公务接待费</w:t>
            </w:r>
            <w:r>
              <w:rPr>
                <w:rFonts w:ascii="仿宋_GB2312" w:eastAsia="仿宋_GB2312" w:cs="仿宋"/>
                <w:sz w:val="32"/>
                <w:szCs w:val="32"/>
              </w:rPr>
              <w:t>1.64</w:t>
            </w:r>
            <w:r>
              <w:rPr>
                <w:rFonts w:hint="eastAsia" w:ascii="仿宋_GB2312" w:eastAsia="仿宋_GB2312" w:cs="仿宋"/>
                <w:sz w:val="32"/>
                <w:szCs w:val="32"/>
              </w:rPr>
              <w:t>万元，公务用车运行维护费</w:t>
            </w:r>
            <w:r>
              <w:rPr>
                <w:rFonts w:ascii="仿宋_GB2312" w:eastAsia="仿宋_GB2312" w:cs="仿宋"/>
                <w:sz w:val="32"/>
                <w:szCs w:val="32"/>
              </w:rPr>
              <w:t>9.60</w:t>
            </w:r>
            <w:r>
              <w:rPr>
                <w:rFonts w:hint="eastAsia" w:ascii="仿宋_GB2312" w:eastAsia="仿宋_GB2312" w:cs="仿宋"/>
                <w:sz w:val="32"/>
                <w:szCs w:val="32"/>
              </w:rPr>
              <w:t>万元，出国（境）费0元。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“三公经费”实际支出数为9.</w:t>
            </w:r>
            <w:r>
              <w:rPr>
                <w:rFonts w:ascii="仿宋_GB2312" w:eastAsia="仿宋_GB2312" w:cs="仿宋"/>
                <w:sz w:val="32"/>
                <w:szCs w:val="32"/>
              </w:rPr>
              <w:t>25</w:t>
            </w:r>
            <w:r>
              <w:rPr>
                <w:rFonts w:hint="eastAsia" w:ascii="仿宋_GB2312" w:eastAsia="仿宋_GB2312" w:cs="仿宋"/>
                <w:sz w:val="32"/>
                <w:szCs w:val="32"/>
              </w:rPr>
              <w:t>万元，其中公务接待费实际支出为0.39万元，公务用车运行维护费实际支出为</w:t>
            </w:r>
            <w:r>
              <w:rPr>
                <w:rFonts w:ascii="仿宋_GB2312" w:eastAsia="仿宋_GB2312" w:cs="仿宋"/>
                <w:sz w:val="32"/>
                <w:szCs w:val="32"/>
              </w:rPr>
              <w:t>8.86</w:t>
            </w:r>
            <w:r>
              <w:rPr>
                <w:rFonts w:hint="eastAsia" w:ascii="仿宋_GB2312" w:eastAsia="仿宋_GB2312" w:cs="仿宋"/>
                <w:sz w:val="32"/>
                <w:szCs w:val="32"/>
              </w:rPr>
              <w:t>万元，完全控制在控制数以内。主</w:t>
            </w:r>
            <w:r>
              <w:rPr>
                <w:rFonts w:ascii="仿宋_GB2312" w:eastAsia="仿宋_GB2312" w:cs="仿宋"/>
                <w:sz w:val="32"/>
                <w:szCs w:val="32"/>
              </w:rPr>
              <w:t>要原因</w:t>
            </w:r>
            <w:r>
              <w:rPr>
                <w:rFonts w:hint="eastAsia" w:ascii="仿宋_GB2312" w:eastAsia="仿宋_GB2312" w:cs="仿宋"/>
                <w:sz w:val="32"/>
                <w:szCs w:val="32"/>
              </w:rPr>
              <w:t>：</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1）严格控制公务接待开支。所有公务接待由承办室、部的经办人申请，如实填写接待清单（包括接待对象的单位、人数、姓名、职务和公务活动内容、时间场所、标准等内容），经办公室、所领导同意后方可接待，公务活动结束后，接待室、部再按财务程序核报。（2）严格控制车辆运行费用。切实加强车辆用油管理，严格执行“一车一卡”管理办法，油卡统一由办公室保管。驾驶员要随时掌握加油卡的资金余额，需要充值时提前向办公室报告。一般情况下不得用现金加油，否则不予报销。耗油量凭派车单和行驶里程核定。</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2、项目支出执行情况</w:t>
            </w:r>
          </w:p>
          <w:p>
            <w:pPr>
              <w:tabs>
                <w:tab w:val="left" w:pos="900"/>
              </w:tabs>
              <w:spacing w:line="520" w:lineRule="exact"/>
              <w:ind w:left="1" w:firstLine="716" w:firstLineChars="224"/>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1年度年初部门预算安排项目</w:t>
            </w:r>
            <w:r>
              <w:rPr>
                <w:rFonts w:ascii="仿宋_GB2312" w:eastAsia="仿宋_GB2312" w:cs="仿宋"/>
                <w:sz w:val="32"/>
                <w:szCs w:val="32"/>
              </w:rPr>
              <w:t>支出</w:t>
            </w:r>
            <w:r>
              <w:rPr>
                <w:rFonts w:hint="eastAsia" w:ascii="仿宋_GB2312" w:eastAsia="仿宋_GB2312" w:cs="仿宋"/>
                <w:sz w:val="32"/>
                <w:szCs w:val="32"/>
              </w:rPr>
              <w:t>307.78万元；预算调增20万元，市局拨款16.73万元，其中拨防疫慰问金0.12万元，拨付药品抽检费7万元，拨钢筋产品质量专项经费1.50万元，美丽乡村化粪池抽验费0.95万元，市局拨专项抽查费4.80万元，局儿童和学生用品监督抽查经费2.36万元，全年财政预算项目</w:t>
            </w:r>
            <w:r>
              <w:rPr>
                <w:rFonts w:ascii="仿宋_GB2312" w:eastAsia="仿宋_GB2312" w:cs="仿宋"/>
                <w:sz w:val="32"/>
                <w:szCs w:val="32"/>
              </w:rPr>
              <w:t>支出</w:t>
            </w:r>
            <w:r>
              <w:rPr>
                <w:rFonts w:hint="eastAsia" w:ascii="仿宋_GB2312" w:eastAsia="仿宋_GB2312" w:cs="仿宋"/>
                <w:sz w:val="32"/>
                <w:szCs w:val="32"/>
              </w:rPr>
              <w:t>合计344.51万元。</w:t>
            </w:r>
          </w:p>
          <w:p>
            <w:pPr>
              <w:tabs>
                <w:tab w:val="left" w:pos="900"/>
              </w:tabs>
              <w:spacing w:line="520" w:lineRule="exact"/>
              <w:ind w:left="1" w:firstLine="716" w:firstLineChars="224"/>
              <w:rPr>
                <w:rFonts w:ascii="仿宋_GB2312" w:eastAsia="仿宋_GB2312" w:cs="仿宋"/>
                <w:sz w:val="32"/>
                <w:szCs w:val="32"/>
              </w:rPr>
            </w:pPr>
            <w:r>
              <w:rPr>
                <w:rFonts w:hint="eastAsia" w:ascii="仿宋_GB2312" w:eastAsia="仿宋_GB2312" w:cs="仿宋"/>
                <w:sz w:val="32"/>
                <w:szCs w:val="32"/>
              </w:rPr>
              <w:t>项目支出实际发生数为</w:t>
            </w:r>
            <w:r>
              <w:rPr>
                <w:rFonts w:ascii="仿宋_GB2312" w:eastAsia="仿宋_GB2312" w:cs="仿宋"/>
                <w:sz w:val="32"/>
                <w:szCs w:val="32"/>
              </w:rPr>
              <w:t>475.17</w:t>
            </w:r>
            <w:r>
              <w:rPr>
                <w:rFonts w:hint="eastAsia" w:ascii="仿宋_GB2312" w:eastAsia="仿宋_GB2312" w:cs="仿宋"/>
                <w:sz w:val="32"/>
                <w:szCs w:val="32"/>
              </w:rPr>
              <w:t>万元。其中业务性专项支出344.51万元，其中：购置设备125.28万元；结余资金购置设备130.86万元。因此完成年度总预算安排100%。</w:t>
            </w:r>
          </w:p>
          <w:p>
            <w:pPr>
              <w:tabs>
                <w:tab w:val="left" w:pos="900"/>
              </w:tabs>
              <w:spacing w:line="560" w:lineRule="exact"/>
              <w:ind w:left="1" w:firstLine="716" w:firstLineChars="224"/>
              <w:rPr>
                <w:rFonts w:ascii="仿宋_GB2312" w:eastAsia="仿宋_GB2312" w:cs="仿宋"/>
                <w:sz w:val="32"/>
                <w:szCs w:val="32"/>
              </w:rPr>
            </w:pPr>
            <w:r>
              <w:rPr>
                <w:rFonts w:hint="eastAsia" w:ascii="仿宋_GB2312" w:eastAsia="仿宋_GB2312" w:cs="仿宋"/>
                <w:sz w:val="32"/>
                <w:szCs w:val="32"/>
              </w:rPr>
              <w:t>为加强对专项资金的管理，规范支出，提高专项资金使用效益，制定《专项资金管理办法》等相关制度，明确专项工作支出范围，并严格按照批准的用途专款专用，定期对专项工作实施进度和资金使用情况进行检查，加强事前、事中和事后的监督，发现问题，及时纠正。专项工作业务经费报销，经办人必须在发票上注明每笔支出的事由，部门负责人签字证实，按报账审批权限送分管财务副所长、所长审批后，交财务列支。经办人、部门负责人必须对支出项目的真实性负责；财务对报销单据的合规性、审批程序是否符合财务制度负责；财务副所长、所长对支出的合法性、合理性负责，进一步规范经费开支和资产管理。</w:t>
            </w:r>
          </w:p>
          <w:p>
            <w:pPr>
              <w:spacing w:line="560" w:lineRule="exact"/>
              <w:ind w:firstLine="640" w:firstLineChars="200"/>
              <w:rPr>
                <w:rFonts w:ascii="仿宋_GB2312" w:eastAsia="仿宋_GB2312" w:cs="仿宋"/>
                <w:sz w:val="32"/>
                <w:szCs w:val="32"/>
              </w:rPr>
            </w:pPr>
            <w:r>
              <w:rPr>
                <w:rFonts w:hint="eastAsia" w:ascii="仿宋_GB2312" w:eastAsia="仿宋_GB2312" w:cs="仿宋"/>
                <w:sz w:val="32"/>
                <w:szCs w:val="32"/>
              </w:rPr>
              <w:t>3、扎实推进预决算公开。</w:t>
            </w:r>
          </w:p>
          <w:p>
            <w:pPr>
              <w:spacing w:line="560" w:lineRule="exact"/>
              <w:ind w:firstLine="640" w:firstLineChars="200"/>
              <w:rPr>
                <w:rFonts w:ascii="仿宋_GB2312" w:eastAsia="仿宋_GB2312" w:cs="仿宋"/>
                <w:sz w:val="32"/>
                <w:szCs w:val="32"/>
              </w:rPr>
            </w:pPr>
            <w:r>
              <w:rPr>
                <w:rFonts w:hint="eastAsia" w:ascii="仿宋_GB2312" w:eastAsia="仿宋_GB2312" w:cs="仿宋"/>
                <w:sz w:val="32"/>
                <w:szCs w:val="32"/>
              </w:rPr>
              <w:t>按照政府信息公开的相关规定，</w:t>
            </w:r>
            <w:r>
              <w:rPr>
                <w:rFonts w:ascii="仿宋_GB2312" w:eastAsia="仿宋_GB2312" w:cs="仿宋"/>
                <w:sz w:val="32"/>
                <w:szCs w:val="32"/>
              </w:rPr>
              <w:t>202</w:t>
            </w:r>
            <w:r>
              <w:rPr>
                <w:rFonts w:hint="eastAsia" w:ascii="仿宋_GB2312" w:eastAsia="仿宋_GB2312" w:cs="仿宋"/>
                <w:sz w:val="32"/>
                <w:szCs w:val="32"/>
              </w:rPr>
              <w:t>1年在市政府门户网站和单位门户网对外主动公开年初预算信息和三公经费控制数以及</w:t>
            </w:r>
            <w:r>
              <w:rPr>
                <w:rFonts w:ascii="仿宋_GB2312" w:eastAsia="仿宋_GB2312" w:cs="仿宋"/>
                <w:sz w:val="32"/>
                <w:szCs w:val="32"/>
              </w:rPr>
              <w:t>202</w:t>
            </w:r>
            <w:r>
              <w:rPr>
                <w:rFonts w:hint="eastAsia" w:ascii="仿宋_GB2312" w:eastAsia="仿宋_GB2312" w:cs="仿宋"/>
                <w:sz w:val="32"/>
                <w:szCs w:val="32"/>
              </w:rPr>
              <w:t>1年度决算和三公经费支出情况等相关事项，接受社会公众的监督。</w:t>
            </w:r>
          </w:p>
          <w:p>
            <w:pPr>
              <w:tabs>
                <w:tab w:val="left" w:pos="900"/>
              </w:tabs>
              <w:spacing w:line="520" w:lineRule="exact"/>
              <w:ind w:left="1" w:firstLine="720" w:firstLineChars="224"/>
              <w:rPr>
                <w:rFonts w:ascii="楷体" w:hAnsi="楷体" w:eastAsia="楷体"/>
                <w:b/>
                <w:sz w:val="32"/>
                <w:szCs w:val="32"/>
              </w:rPr>
            </w:pPr>
            <w:r>
              <w:rPr>
                <w:rFonts w:hint="eastAsia" w:ascii="楷体" w:hAnsi="楷体" w:eastAsia="楷体"/>
                <w:b/>
                <w:sz w:val="32"/>
                <w:szCs w:val="32"/>
              </w:rPr>
              <w:t>（三）事业</w:t>
            </w:r>
            <w:r>
              <w:rPr>
                <w:rFonts w:ascii="楷体" w:hAnsi="楷体" w:eastAsia="楷体"/>
                <w:b/>
                <w:sz w:val="32"/>
                <w:szCs w:val="32"/>
              </w:rPr>
              <w:t>收入</w:t>
            </w:r>
            <w:r>
              <w:rPr>
                <w:rFonts w:hint="eastAsia" w:ascii="楷体" w:hAnsi="楷体" w:eastAsia="楷体"/>
                <w:b/>
                <w:sz w:val="32"/>
                <w:szCs w:val="32"/>
              </w:rPr>
              <w:t>执行情况</w:t>
            </w:r>
          </w:p>
          <w:p>
            <w:pPr>
              <w:spacing w:line="560" w:lineRule="exact"/>
              <w:ind w:firstLine="640" w:firstLineChars="200"/>
              <w:rPr>
                <w:rFonts w:ascii="仿宋_GB2312" w:eastAsia="仿宋_GB2312" w:cs="仿宋"/>
                <w:sz w:val="32"/>
                <w:szCs w:val="32"/>
              </w:rPr>
            </w:pPr>
            <w:r>
              <w:rPr>
                <w:rFonts w:ascii="仿宋_GB2312" w:eastAsia="仿宋_GB2312" w:cs="仿宋"/>
                <w:sz w:val="32"/>
                <w:szCs w:val="32"/>
              </w:rPr>
              <w:t>202</w:t>
            </w:r>
            <w:r>
              <w:rPr>
                <w:rFonts w:hint="eastAsia" w:ascii="仿宋_GB2312" w:eastAsia="仿宋_GB2312" w:cs="仿宋"/>
                <w:sz w:val="32"/>
                <w:szCs w:val="32"/>
              </w:rPr>
              <w:t>1年</w:t>
            </w:r>
            <w:r>
              <w:rPr>
                <w:rFonts w:ascii="仿宋_GB2312" w:eastAsia="仿宋_GB2312" w:cs="仿宋"/>
                <w:sz w:val="32"/>
                <w:szCs w:val="32"/>
              </w:rPr>
              <w:t>事业收入</w:t>
            </w:r>
            <w:r>
              <w:rPr>
                <w:rFonts w:hint="eastAsia" w:ascii="仿宋_GB2312" w:eastAsia="仿宋_GB2312" w:cs="仿宋"/>
                <w:sz w:val="32"/>
                <w:szCs w:val="32"/>
              </w:rPr>
              <w:t>42万元，其他事业收入1.35万元，事业</w:t>
            </w:r>
            <w:r>
              <w:rPr>
                <w:rFonts w:ascii="仿宋_GB2312" w:eastAsia="仿宋_GB2312" w:cs="仿宋"/>
                <w:sz w:val="32"/>
                <w:szCs w:val="32"/>
              </w:rPr>
              <w:t>收入</w:t>
            </w:r>
            <w:r>
              <w:rPr>
                <w:rFonts w:hint="eastAsia" w:ascii="仿宋_GB2312" w:eastAsia="仿宋_GB2312" w:cs="仿宋"/>
                <w:sz w:val="32"/>
                <w:szCs w:val="32"/>
              </w:rPr>
              <w:t>执行</w:t>
            </w:r>
            <w:r>
              <w:rPr>
                <w:rFonts w:ascii="仿宋_GB2312" w:eastAsia="仿宋_GB2312" w:cs="仿宋"/>
                <w:sz w:val="32"/>
                <w:szCs w:val="32"/>
              </w:rPr>
              <w:t>率</w:t>
            </w:r>
            <w:r>
              <w:rPr>
                <w:rFonts w:hint="eastAsia" w:ascii="仿宋_GB2312" w:eastAsia="仿宋_GB2312" w:cs="仿宋"/>
                <w:sz w:val="32"/>
                <w:szCs w:val="32"/>
              </w:rPr>
              <w:t>100%。</w:t>
            </w:r>
          </w:p>
          <w:p>
            <w:pPr>
              <w:spacing w:line="560" w:lineRule="exact"/>
              <w:ind w:firstLine="640" w:firstLineChars="200"/>
              <w:rPr>
                <w:rFonts w:ascii="仿宋_GB2312" w:eastAsia="仿宋_GB2312"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846"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绩效目标完成情况</w:t>
            </w:r>
          </w:p>
        </w:tc>
        <w:tc>
          <w:tcPr>
            <w:tcW w:w="6917" w:type="dxa"/>
            <w:vAlign w:val="center"/>
          </w:tcPr>
          <w:p>
            <w:pPr>
              <w:pStyle w:val="7"/>
              <w:shd w:val="clear" w:color="auto" w:fill="FFFFFF"/>
              <w:spacing w:before="0" w:beforeAutospacing="0" w:after="0" w:afterAutospacing="0" w:line="560" w:lineRule="atLeast"/>
              <w:ind w:firstLine="640"/>
              <w:jc w:val="both"/>
              <w:rPr>
                <w:rFonts w:ascii="仿宋_GB2312" w:hAnsi="Times New Roman" w:eastAsia="仿宋_GB2312" w:cs="仿宋"/>
                <w:kern w:val="2"/>
                <w:sz w:val="32"/>
                <w:szCs w:val="32"/>
              </w:rPr>
            </w:pPr>
            <w:r>
              <w:rPr>
                <w:rFonts w:ascii="仿宋_GB2312" w:hAnsi="Times New Roman" w:eastAsia="仿宋_GB2312" w:cs="仿宋"/>
                <w:kern w:val="2"/>
                <w:sz w:val="32"/>
                <w:szCs w:val="32"/>
              </w:rPr>
              <w:t>202</w:t>
            </w:r>
            <w:r>
              <w:rPr>
                <w:rFonts w:hint="eastAsia" w:ascii="仿宋_GB2312" w:hAnsi="Times New Roman" w:eastAsia="仿宋_GB2312" w:cs="仿宋"/>
                <w:kern w:val="2"/>
                <w:sz w:val="32"/>
                <w:szCs w:val="32"/>
              </w:rPr>
              <w:t>1年部门整体支出绩效自评结果显示，我所（中</w:t>
            </w:r>
            <w:r>
              <w:rPr>
                <w:rFonts w:ascii="仿宋_GB2312" w:hAnsi="Times New Roman" w:eastAsia="仿宋_GB2312" w:cs="仿宋"/>
                <w:kern w:val="2"/>
                <w:sz w:val="32"/>
                <w:szCs w:val="32"/>
              </w:rPr>
              <w:t>心）</w:t>
            </w:r>
            <w:r>
              <w:rPr>
                <w:rFonts w:hint="eastAsia" w:ascii="仿宋_GB2312" w:hAnsi="Times New Roman" w:eastAsia="仿宋_GB2312" w:cs="仿宋"/>
                <w:kern w:val="2"/>
                <w:sz w:val="32"/>
                <w:szCs w:val="32"/>
              </w:rPr>
              <w:t>绩效管理情况较为理想，达到了年初设定的各项绩效目标。所有资金使用严格按审批程序办理、操作规范，会计核算结果真实、准确，各项支出严格按照各项制度执行。</w:t>
            </w:r>
          </w:p>
          <w:p>
            <w:pPr>
              <w:pStyle w:val="16"/>
              <w:spacing w:before="0" w:line="560" w:lineRule="exact"/>
              <w:ind w:firstLineChars="0"/>
              <w:rPr>
                <w:rStyle w:val="17"/>
                <w:rFonts w:ascii="仿宋_GB2312" w:hAnsi="仿宋_GB2312" w:eastAsia="仿宋_GB2312" w:cs="仿宋_GB2312"/>
                <w:b/>
                <w:bCs/>
                <w:sz w:val="32"/>
                <w:szCs w:val="32"/>
              </w:rPr>
            </w:pPr>
            <w:r>
              <w:rPr>
                <w:rStyle w:val="17"/>
                <w:rFonts w:hint="eastAsia" w:ascii="仿宋_GB2312" w:hAnsi="仿宋_GB2312" w:eastAsia="仿宋_GB2312" w:cs="仿宋_GB2312"/>
                <w:b/>
                <w:bCs/>
                <w:color w:val="333333"/>
                <w:kern w:val="0"/>
                <w:sz w:val="32"/>
                <w:szCs w:val="32"/>
              </w:rPr>
              <w:t>（一）抓党建，推动全面发展</w:t>
            </w:r>
          </w:p>
          <w:p>
            <w:pPr>
              <w:pStyle w:val="16"/>
              <w:spacing w:before="0" w:line="560" w:lineRule="exact"/>
              <w:ind w:firstLine="640"/>
              <w:rPr>
                <w:rStyle w:val="17"/>
                <w:rFonts w:ascii="仿宋_GB2312" w:hAnsi="仿宋_GB2312" w:eastAsia="仿宋_GB2312" w:cs="仿宋_GB2312"/>
                <w:color w:val="000000"/>
                <w:sz w:val="32"/>
                <w:szCs w:val="32"/>
              </w:rPr>
            </w:pPr>
            <w:r>
              <w:rPr>
                <w:rStyle w:val="17"/>
                <w:rFonts w:hint="eastAsia" w:ascii="仿宋_GB2312" w:hAnsi="仿宋_GB2312" w:eastAsia="仿宋_GB2312" w:cs="仿宋_GB2312"/>
                <w:color w:val="000000"/>
                <w:sz w:val="32"/>
                <w:szCs w:val="32"/>
              </w:rPr>
              <w:t>支部按照“支部建设标准化、组织生活正常化、管理服务精细化、工作制度体系化、阵地建设规范化”标准，充分发挥党员的先锋模范作用和党支部的战斗堡垒作用，为全面完成各项工作任务提供坚强的组织保障。</w:t>
            </w:r>
          </w:p>
          <w:p>
            <w:pPr>
              <w:pStyle w:val="16"/>
              <w:spacing w:before="0" w:line="560" w:lineRule="exact"/>
              <w:ind w:firstLine="640"/>
              <w:rPr>
                <w:rStyle w:val="17"/>
                <w:rFonts w:ascii="仿宋_GB2312" w:hAnsi="仿宋_GB2312" w:eastAsia="仿宋_GB2312" w:cs="仿宋_GB2312"/>
                <w:sz w:val="32"/>
                <w:szCs w:val="32"/>
              </w:rPr>
            </w:pPr>
            <w:r>
              <w:rPr>
                <w:rStyle w:val="17"/>
                <w:rFonts w:hint="eastAsia" w:ascii="仿宋_GB2312" w:hAnsi="仿宋_GB2312" w:eastAsia="仿宋_GB2312" w:cs="仿宋_GB2312"/>
                <w:color w:val="000000"/>
                <w:sz w:val="32"/>
                <w:szCs w:val="32"/>
              </w:rPr>
              <w:t>对照习近平总书记明确的“学史明理、学史增信、学史崇德、学史力行”总要求，和“六个进一步”学习重点</w:t>
            </w:r>
            <w:r>
              <w:rPr>
                <w:rStyle w:val="17"/>
                <w:rFonts w:hint="eastAsia" w:ascii="仿宋_GB2312" w:hAnsi="仿宋_GB2312" w:eastAsia="仿宋_GB2312" w:cs="仿宋_GB2312"/>
                <w:color w:val="000000"/>
                <w:spacing w:val="15"/>
                <w:kern w:val="0"/>
                <w:sz w:val="32"/>
                <w:szCs w:val="32"/>
              </w:rPr>
              <w:t>，</w:t>
            </w:r>
            <w:r>
              <w:rPr>
                <w:rStyle w:val="17"/>
                <w:rFonts w:hint="eastAsia" w:ascii="仿宋_GB2312" w:hAnsi="仿宋_GB2312" w:eastAsia="仿宋_GB2312" w:cs="仿宋_GB2312"/>
                <w:color w:val="000000"/>
                <w:sz w:val="32"/>
                <w:szCs w:val="32"/>
              </w:rPr>
              <w:t>按照市委和市局机关党委统一部署，本所（中心）党支部高质量高标准组织开展了党史学习教育。</w:t>
            </w:r>
            <w:r>
              <w:rPr>
                <w:rStyle w:val="17"/>
                <w:rFonts w:hint="eastAsia" w:ascii="仿宋_GB2312" w:hAnsi="仿宋_GB2312" w:eastAsia="仿宋_GB2312" w:cs="仿宋_GB2312"/>
                <w:sz w:val="32"/>
                <w:szCs w:val="32"/>
              </w:rPr>
              <w:t>支部将每周二确定为“党史学习日”，要求全体干部职工积极参加，</w:t>
            </w:r>
            <w:r>
              <w:rPr>
                <w:rFonts w:hint="eastAsia" w:ascii="仿宋_GB2312" w:hAnsi="仿宋_GB2312" w:eastAsia="仿宋_GB2312" w:cs="仿宋_GB2312"/>
                <w:sz w:val="32"/>
                <w:szCs w:val="32"/>
              </w:rPr>
              <w:t>确保每位同志接受教育，有所收获。</w:t>
            </w:r>
            <w:r>
              <w:rPr>
                <w:rStyle w:val="17"/>
                <w:rFonts w:hint="eastAsia" w:ascii="仿宋_GB2312" w:hAnsi="仿宋_GB2312" w:eastAsia="仿宋_GB2312" w:cs="仿宋_GB2312"/>
                <w:sz w:val="32"/>
                <w:szCs w:val="32"/>
              </w:rPr>
              <w:t>党史学习教育围绕《</w:t>
            </w:r>
            <w:bookmarkStart w:id="0" w:name="_GoBack"/>
            <w:bookmarkEnd w:id="0"/>
            <w:r>
              <w:rPr>
                <w:rStyle w:val="17"/>
                <w:rFonts w:hint="eastAsia" w:ascii="仿宋_GB2312" w:hAnsi="仿宋_GB2312" w:eastAsia="仿宋_GB2312" w:cs="仿宋_GB2312"/>
                <w:sz w:val="32"/>
                <w:szCs w:val="32"/>
              </w:rPr>
              <w:t>论中国共产党历史》《毛泽东 邓小平 江泽民 胡锦涛关于中国共产党历史论述摘编》《习近平新时代中国特色社会主义思想学习问答》《中国共产党简史》四部必读书及重点学习篇章，制定了具体学习清单，每位党员轮流领学并分享学习心得体会；市局党组成员、分管副局长邬亮言、中心主任（兼所长）苏邦伟和支部书记王怀智等多次语重心长地</w:t>
            </w:r>
            <w:r>
              <w:rPr>
                <w:rStyle w:val="17"/>
                <w:rFonts w:hint="eastAsia" w:ascii="仿宋_GB2312" w:hAnsi="仿宋_GB2312" w:eastAsia="仿宋_GB2312" w:cs="仿宋_GB2312"/>
                <w:color w:val="000000"/>
                <w:spacing w:val="7"/>
                <w:sz w:val="32"/>
                <w:szCs w:val="32"/>
                <w:shd w:val="clear" w:color="auto" w:fill="FEFEFE"/>
              </w:rPr>
              <w:t>讲授教育党课，并</w:t>
            </w:r>
            <w:r>
              <w:rPr>
                <w:rStyle w:val="17"/>
                <w:rFonts w:hint="eastAsia" w:ascii="仿宋_GB2312" w:hAnsi="仿宋_GB2312" w:eastAsia="仿宋_GB2312" w:cs="仿宋_GB2312"/>
                <w:sz w:val="32"/>
                <w:szCs w:val="32"/>
              </w:rPr>
              <w:t>邀请了市委党校刘晓玲副教授讲授平台经济、联点共建桃李社区李术林同志讲中共一大到七大党史故事，参加了市局举办的党史学习教育市委宣讲团宣讲报告会；通过观看《百炼成钢，党史上的今天》，阅读湖南日报开设的“湖湘潮百年颂”专题或新湖南相关网络专题、湘潭日报推出的《伟人故里 百年风华》专题报道，收听湘潭电视台推出的《别梦依稀.1959》广播剧，了解掌握党史上的重大事件、重要会议、重要人物，从中汲取历史经验，不断巩固党史学习教育成效；通过</w:t>
            </w:r>
            <w:r>
              <w:rPr>
                <w:rFonts w:hint="eastAsia" w:ascii="仿宋_GB2312" w:hAnsi="仿宋_GB2312" w:eastAsia="仿宋_GB2312" w:cs="仿宋_GB2312"/>
                <w:sz w:val="32"/>
                <w:szCs w:val="32"/>
              </w:rPr>
              <w:t>开展“乘坐两山专线，传承红色基因”活动，不断提升党员干部党性修养；</w:t>
            </w:r>
            <w:r>
              <w:rPr>
                <w:rStyle w:val="17"/>
                <w:rFonts w:hint="eastAsia" w:ascii="仿宋_GB2312" w:hAnsi="仿宋_GB2312" w:eastAsia="仿宋_GB2312" w:cs="仿宋_GB2312"/>
                <w:sz w:val="32"/>
                <w:szCs w:val="32"/>
              </w:rPr>
              <w:t>作为和平街道桃李社区第一个工作服务站---“跑小二”党员志愿服务站，本所（中心）积极与中共桃李社区支部联点共建，开展“七个一”活动，积极推动支部建设。</w:t>
            </w:r>
          </w:p>
          <w:p>
            <w:pPr>
              <w:pStyle w:val="16"/>
              <w:spacing w:before="0" w:line="560" w:lineRule="exact"/>
              <w:ind w:firstLineChars="0"/>
              <w:rPr>
                <w:rStyle w:val="17"/>
                <w:rFonts w:ascii="仿宋_GB2312" w:hAnsi="仿宋_GB2312" w:eastAsia="仿宋_GB2312" w:cs="仿宋_GB2312"/>
                <w:b/>
                <w:bCs/>
                <w:color w:val="333333"/>
                <w:kern w:val="0"/>
                <w:sz w:val="32"/>
                <w:szCs w:val="32"/>
              </w:rPr>
            </w:pPr>
            <w:r>
              <w:rPr>
                <w:rStyle w:val="17"/>
                <w:rFonts w:hint="eastAsia" w:ascii="仿宋_GB2312" w:hAnsi="仿宋_GB2312" w:eastAsia="仿宋_GB2312" w:cs="仿宋_GB2312"/>
                <w:b/>
                <w:bCs/>
                <w:color w:val="333333"/>
                <w:kern w:val="0"/>
                <w:sz w:val="32"/>
                <w:szCs w:val="32"/>
              </w:rPr>
              <w:t>（二）强能力，打造过硬队伍</w:t>
            </w:r>
          </w:p>
          <w:p>
            <w:pPr>
              <w:spacing w:line="560" w:lineRule="exact"/>
              <w:ind w:firstLine="643" w:firstLineChars="200"/>
              <w:rPr>
                <w:rStyle w:val="17"/>
                <w:rFonts w:ascii="仿宋_GB2312" w:hAnsi="仿宋_GB2312" w:eastAsia="仿宋_GB2312" w:cs="仿宋_GB2312"/>
                <w:b/>
                <w:sz w:val="32"/>
                <w:szCs w:val="32"/>
              </w:rPr>
            </w:pPr>
            <w:r>
              <w:rPr>
                <w:rStyle w:val="17"/>
                <w:rFonts w:hint="eastAsia" w:ascii="仿宋_GB2312" w:hAnsi="仿宋_GB2312" w:eastAsia="仿宋_GB2312" w:cs="仿宋_GB2312"/>
                <w:b/>
                <w:sz w:val="32"/>
                <w:szCs w:val="32"/>
              </w:rPr>
              <w:t>1.资质能力不断提升</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本所（中心）组织并通过</w:t>
            </w:r>
            <w:r>
              <w:rPr>
                <w:rFonts w:hint="eastAsia" w:ascii="仿宋_GB2312" w:hAnsi="仿宋_GB2312" w:eastAsia="仿宋_GB2312" w:cs="仿宋_GB2312"/>
                <w:sz w:val="32"/>
                <w:szCs w:val="32"/>
              </w:rPr>
              <w:t>球压试验、电压暂降抗扰度、大米中总砷、纺织品中甲醛的测定等</w:t>
            </w:r>
            <w:r>
              <w:rPr>
                <w:rStyle w:val="17"/>
                <w:rFonts w:hint="eastAsia" w:ascii="仿宋_GB2312" w:hAnsi="仿宋_GB2312" w:eastAsia="仿宋_GB2312" w:cs="仿宋_GB2312"/>
                <w:sz w:val="32"/>
                <w:szCs w:val="32"/>
              </w:rPr>
              <w:t>18项实验室</w:t>
            </w:r>
            <w:r>
              <w:rPr>
                <w:rFonts w:hint="eastAsia" w:ascii="仿宋_GB2312" w:hAnsi="仿宋_GB2312" w:eastAsia="仿宋_GB2312" w:cs="仿宋_GB2312"/>
                <w:sz w:val="32"/>
                <w:szCs w:val="32"/>
              </w:rPr>
              <w:t>能力验证和测量审核</w:t>
            </w:r>
            <w:r>
              <w:rPr>
                <w:rStyle w:val="17"/>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为扩大资质服务范围，不断提升承检能力和水平，我所（中心）新购置了</w:t>
            </w:r>
            <w:r>
              <w:rPr>
                <w:rStyle w:val="17"/>
                <w:rFonts w:hint="eastAsia" w:ascii="仿宋_GB2312" w:hAnsi="仿宋_GB2312" w:eastAsia="仿宋_GB2312" w:cs="仿宋_GB2312"/>
                <w:sz w:val="32"/>
                <w:szCs w:val="32"/>
              </w:rPr>
              <w:t>无线动态应变测试分析系统、PHS智能恒温配液工作站、3D面积测定仪、水蒸气透过率测试仪、紫外可见分光光度计等仪器设备。</w:t>
            </w:r>
            <w:r>
              <w:rPr>
                <w:rFonts w:hint="eastAsia" w:ascii="仿宋_GB2312" w:hAnsi="仿宋_GB2312" w:eastAsia="仿宋_GB2312" w:cs="仿宋_GB2312"/>
                <w:sz w:val="32"/>
                <w:szCs w:val="32"/>
              </w:rPr>
              <w:t>目前均已完成安装、调试、验收和培训，投入正常使用。自卸车应力应变及震动测试、</w:t>
            </w:r>
            <w:r>
              <w:rPr>
                <w:rStyle w:val="17"/>
                <w:rFonts w:hint="eastAsia" w:ascii="仿宋_GB2312" w:hAnsi="仿宋_GB2312" w:eastAsia="仿宋_GB2312" w:cs="仿宋_GB2312"/>
                <w:sz w:val="32"/>
                <w:szCs w:val="32"/>
              </w:rPr>
              <w:t>塑料薄膜、复合膜等阻隔材料的水分渗透特性</w:t>
            </w:r>
            <w:r>
              <w:rPr>
                <w:rFonts w:hint="eastAsia" w:ascii="仿宋_GB2312" w:hAnsi="仿宋_GB2312" w:eastAsia="仿宋_GB2312" w:cs="仿宋_GB2312"/>
                <w:sz w:val="32"/>
                <w:szCs w:val="32"/>
              </w:rPr>
              <w:t>等检验检测能力得到有效提升。工矿电传动车辆国检中心于7月份顺利通过CNAS现场监督评审，保持了</w:t>
            </w:r>
            <w:r>
              <w:rPr>
                <w:rFonts w:hint="eastAsia" w:ascii="仿宋_GB2312" w:hAnsi="仿宋_GB2312" w:eastAsia="仿宋_GB2312" w:cs="仿宋_GB2312"/>
                <w:bCs/>
                <w:sz w:val="32"/>
                <w:szCs w:val="32"/>
              </w:rPr>
              <w:t>原有的电机、电传动车辆、低压电控设备、金属材料、环境试验五大类30个产品、390项参数的检测资质能</w:t>
            </w:r>
            <w:r>
              <w:rPr>
                <w:rFonts w:hint="eastAsia" w:ascii="仿宋_GB2312" w:hAnsi="仿宋_GB2312" w:eastAsia="仿宋_GB2312" w:cs="仿宋_GB2312"/>
                <w:sz w:val="32"/>
                <w:szCs w:val="32"/>
              </w:rPr>
              <w:t>力和国际实验室合作组织（ILAC）认可；</w:t>
            </w:r>
            <w:r>
              <w:rPr>
                <w:rStyle w:val="17"/>
                <w:rFonts w:hint="eastAsia" w:ascii="仿宋_GB2312" w:hAnsi="仿宋_GB2312" w:eastAsia="仿宋_GB2312" w:cs="仿宋_GB2312"/>
                <w:bCs/>
                <w:sz w:val="32"/>
                <w:szCs w:val="32"/>
              </w:rPr>
              <w:t>质检所、省地方特色中心于10月份通过CMA资质复评审和扩项评审。</w:t>
            </w:r>
            <w:r>
              <w:rPr>
                <w:rStyle w:val="17"/>
                <w:rFonts w:hint="eastAsia" w:ascii="仿宋_GB2312" w:hAnsi="仿宋_GB2312" w:eastAsia="仿宋_GB2312" w:cs="仿宋_GB2312"/>
                <w:sz w:val="32"/>
                <w:szCs w:val="32"/>
              </w:rPr>
              <w:t>质检所认定的资质包括化工、金属材料、贵金属、机械、电器、轻工、建材、食品、食品相关产品、饲料共十大类512个产品、2996个参数。其中标准变更398个，扩项375个参数；省地方特色中心认定的资质包括食品、食品相关产品两类72个产品、703个参数。其中标准变更33个，扩项40个参数。</w:t>
            </w:r>
          </w:p>
          <w:p>
            <w:pPr>
              <w:spacing w:line="560" w:lineRule="exact"/>
              <w:ind w:firstLine="643" w:firstLineChars="200"/>
              <w:rPr>
                <w:rStyle w:val="17"/>
                <w:rFonts w:ascii="仿宋_GB2312" w:hAnsi="仿宋_GB2312" w:eastAsia="仿宋_GB2312" w:cs="仿宋_GB2312"/>
                <w:b/>
                <w:sz w:val="32"/>
                <w:szCs w:val="32"/>
              </w:rPr>
            </w:pPr>
            <w:r>
              <w:rPr>
                <w:rStyle w:val="17"/>
                <w:rFonts w:hint="eastAsia" w:ascii="仿宋_GB2312" w:hAnsi="仿宋_GB2312" w:eastAsia="仿宋_GB2312" w:cs="仿宋_GB2312"/>
                <w:b/>
                <w:sz w:val="32"/>
                <w:szCs w:val="32"/>
              </w:rPr>
              <w:t>2.标准制修订稳步推进</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标准引领质量。今年，本所（中心）积极参与工业和信息化部2021年第三批机械行业标准《隧道工程用工矿电机车通用技术条件》《自动驾驶工矿电机车通用技术条件》、省局2021年第一批地方标准《托幼机构室内环境质量验收规范》和2020年第五批中国机械工业联合会团体标准《窄轨工矿电机车产品质量分等》的制修订工作。去年</w:t>
            </w:r>
            <w:r>
              <w:rPr>
                <w:rFonts w:hint="eastAsia" w:ascii="仿宋_GB2312" w:hAnsi="仿宋_GB2312" w:eastAsia="仿宋_GB2312" w:cs="仿宋_GB2312"/>
                <w:sz w:val="32"/>
                <w:szCs w:val="32"/>
              </w:rPr>
              <w:t>参与制修订的JB/T4263-2020《交流传动矿进提升机电控设备技术条件》、JB/T9697-2020《挖掘机电控设备》2项行业标准和TCMIF 143-2021 TCEEIA 499-2021《绿色设计产品评价技术规范 超高效环保高功率密度高压电机》团体标准分别于今年1月、6月正式实施。</w:t>
            </w:r>
          </w:p>
          <w:p>
            <w:pPr>
              <w:spacing w:line="560" w:lineRule="exact"/>
              <w:ind w:firstLine="643" w:firstLineChars="200"/>
              <w:rPr>
                <w:rStyle w:val="17"/>
                <w:rFonts w:ascii="仿宋_GB2312" w:hAnsi="仿宋_GB2312" w:eastAsia="仿宋_GB2312" w:cs="仿宋_GB2312"/>
                <w:b/>
                <w:sz w:val="32"/>
                <w:szCs w:val="32"/>
              </w:rPr>
            </w:pPr>
            <w:r>
              <w:rPr>
                <w:rStyle w:val="17"/>
                <w:rFonts w:hint="eastAsia" w:ascii="仿宋_GB2312" w:hAnsi="仿宋_GB2312" w:eastAsia="仿宋_GB2312" w:cs="仿宋_GB2312"/>
                <w:b/>
                <w:sz w:val="32"/>
                <w:szCs w:val="32"/>
              </w:rPr>
              <w:t>3.科研项目取得突破</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向省局申报2020年、2021年能力提升储备项目《食品相关产品检验能力提升》分别获得7万元、10万元专项资金。项目中申报的水蒸气透过率测试仪、紫外可见分光光度计等仪器设备均已采购验收投入使用；向省局申报的2021年度第一批科技计划项目《高吨位电传动自卸车关键构件性能检测方法研究》（项目编号2021KJJH21）获得10万元专项资金。现已购置无线动态应变测试分析系统、行车记录仪等仪器设备。培训合格后，技术人员受委托远赴内蒙古开展了百吨级自卸车检验检测工作；省局第二批科技计划项目《产品质量监督抽查大数据管理系统研发与应用》也已立项（项目编号：2021KJJH81）；往年申报的省局科技项目《85吨以下机车车架疲劳检测系统研制》（项目编号：2019KJJH37）、《电机车用永磁同步电机检测技术研究》（项目编号：2020KJJH48）已完成任务，申请验收；联合</w:t>
            </w:r>
            <w:r>
              <w:rPr>
                <w:rFonts w:hint="eastAsia" w:ascii="仿宋_GB2312" w:hAnsi="仿宋_GB2312" w:eastAsia="仿宋_GB2312" w:cs="仿宋_GB2312"/>
                <w:sz w:val="32"/>
                <w:szCs w:val="32"/>
              </w:rPr>
              <w:t>湖南科技大学及相关企业申报了2个湖</w:t>
            </w:r>
            <w:r>
              <w:rPr>
                <w:rStyle w:val="17"/>
                <w:rFonts w:hint="eastAsia" w:ascii="仿宋_GB2312" w:hAnsi="仿宋_GB2312" w:eastAsia="仿宋_GB2312" w:cs="仿宋_GB2312"/>
                <w:sz w:val="32"/>
                <w:szCs w:val="32"/>
              </w:rPr>
              <w:t>南省自然科学基金项目：</w:t>
            </w:r>
            <w:r>
              <w:rPr>
                <w:rFonts w:hint="eastAsia" w:ascii="仿宋_GB2312" w:hAnsi="仿宋_GB2312" w:eastAsia="仿宋_GB2312" w:cs="仿宋_GB2312"/>
                <w:sz w:val="32"/>
                <w:szCs w:val="32"/>
              </w:rPr>
              <w:t>《复杂工况下大型矿用自卸车物理参数无线检测方法研究》《基于力磁效应的自卸车法兰面螺栓松动检测技术研究》</w:t>
            </w:r>
            <w:r>
              <w:rPr>
                <w:rStyle w:val="17"/>
                <w:rFonts w:hint="eastAsia" w:ascii="仿宋_GB2312" w:hAnsi="仿宋_GB2312" w:eastAsia="仿宋_GB2312" w:cs="仿宋_GB2312"/>
                <w:sz w:val="32"/>
                <w:szCs w:val="32"/>
              </w:rPr>
              <w:t>；利用省工矿电传动车辆标委会平台，</w:t>
            </w:r>
            <w:r>
              <w:rPr>
                <w:rFonts w:hint="eastAsia" w:ascii="仿宋_GB2312" w:hAnsi="仿宋_GB2312" w:eastAsia="仿宋_GB2312" w:cs="仿宋_GB2312"/>
                <w:sz w:val="32"/>
                <w:szCs w:val="32"/>
              </w:rPr>
              <w:t>全力配合市局推进</w:t>
            </w:r>
            <w:r>
              <w:rPr>
                <w:rStyle w:val="17"/>
                <w:rFonts w:hint="eastAsia" w:ascii="仿宋_GB2312" w:hAnsi="仿宋_GB2312" w:eastAsia="仿宋_GB2312" w:cs="仿宋_GB2312"/>
                <w:sz w:val="32"/>
                <w:szCs w:val="32"/>
              </w:rPr>
              <w:t>“百城千业万企对标达标提升专项行动”</w:t>
            </w:r>
            <w:r>
              <w:rPr>
                <w:rFonts w:hint="eastAsia" w:ascii="仿宋_GB2312" w:hAnsi="仿宋_GB2312" w:eastAsia="仿宋_GB2312" w:cs="仿宋_GB2312"/>
                <w:sz w:val="32"/>
                <w:szCs w:val="32"/>
              </w:rPr>
              <w:t>试点城市项目和</w:t>
            </w:r>
            <w:r>
              <w:rPr>
                <w:rStyle w:val="17"/>
                <w:rFonts w:hint="eastAsia" w:ascii="仿宋_GB2312" w:hAnsi="仿宋_GB2312" w:eastAsia="仿宋_GB2312" w:cs="仿宋_GB2312"/>
                <w:sz w:val="32"/>
                <w:szCs w:val="32"/>
              </w:rPr>
              <w:t>“矿山装备标准体系研究”项目，助力矿山装备行业持续健康发展。</w:t>
            </w:r>
          </w:p>
          <w:p>
            <w:pPr>
              <w:spacing w:line="560" w:lineRule="exact"/>
              <w:ind w:firstLine="643" w:firstLineChars="200"/>
              <w:rPr>
                <w:rStyle w:val="17"/>
                <w:rFonts w:ascii="仿宋_GB2312" w:hAnsi="仿宋_GB2312" w:eastAsia="仿宋_GB2312" w:cs="仿宋_GB2312"/>
                <w:b/>
                <w:sz w:val="32"/>
                <w:szCs w:val="32"/>
              </w:rPr>
            </w:pPr>
            <w:r>
              <w:rPr>
                <w:rStyle w:val="17"/>
                <w:rFonts w:hint="eastAsia" w:ascii="仿宋_GB2312" w:hAnsi="仿宋_GB2312" w:eastAsia="仿宋_GB2312" w:cs="仿宋_GB2312"/>
                <w:b/>
                <w:sz w:val="32"/>
                <w:szCs w:val="32"/>
              </w:rPr>
              <w:t>4.日常管理日趋完善</w:t>
            </w:r>
          </w:p>
          <w:p>
            <w:pPr>
              <w:spacing w:line="560" w:lineRule="exact"/>
              <w:ind w:firstLine="640" w:firstLineChars="200"/>
              <w:rPr>
                <w:rStyle w:val="17"/>
                <w:rFonts w:ascii="仿宋_GB2312" w:hAnsi="仿宋_GB2312" w:eastAsia="仿宋_GB2312" w:cs="仿宋_GB2312"/>
                <w:b/>
                <w:bCs/>
                <w:color w:val="FF0000"/>
                <w:sz w:val="32"/>
                <w:szCs w:val="32"/>
              </w:rPr>
            </w:pPr>
            <w:r>
              <w:rPr>
                <w:rStyle w:val="17"/>
                <w:rFonts w:hint="eastAsia" w:ascii="仿宋_GB2312" w:hAnsi="仿宋_GB2312" w:eastAsia="仿宋_GB2312" w:cs="仿宋_GB2312"/>
                <w:sz w:val="32"/>
                <w:szCs w:val="32"/>
              </w:rPr>
              <w:t>为使管理水平和检验工作质量适应社会和科学技术的发展，保证管理体系持续有效运行，本所（中心）组织全体干部职工开展了“春节学习周”、《检验检测机构资质认定管理办法》《检验检测机构监督管理办法》等相关培训。质量管理部对管理体系文件进行了新一轮修订和整合，使各项工作有章可循，有章必循，违章必究。同时，本所（中心）认真对照工作方案，把目标任务分解到部门、具体到项目、落实到岗位、量化到个人，真正做到以责任促落实，以责任促成效，形成一级抓一级、层层抓落实的工作局面。</w:t>
            </w:r>
          </w:p>
          <w:p>
            <w:pPr>
              <w:spacing w:line="560" w:lineRule="exact"/>
              <w:ind w:firstLine="643" w:firstLineChars="200"/>
              <w:rPr>
                <w:rStyle w:val="17"/>
                <w:rFonts w:ascii="仿宋_GB2312" w:hAnsi="仿宋_GB2312" w:eastAsia="仿宋_GB2312" w:cs="仿宋_GB2312"/>
                <w:b/>
                <w:bCs/>
                <w:sz w:val="32"/>
                <w:szCs w:val="32"/>
              </w:rPr>
            </w:pPr>
            <w:r>
              <w:rPr>
                <w:rStyle w:val="17"/>
                <w:rFonts w:hint="eastAsia" w:ascii="仿宋_GB2312" w:hAnsi="仿宋_GB2312" w:eastAsia="仿宋_GB2312" w:cs="仿宋_GB2312"/>
                <w:b/>
                <w:bCs/>
                <w:sz w:val="32"/>
                <w:szCs w:val="32"/>
              </w:rPr>
              <w:t>（三）勇担当，维护产品质量秩序</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根据市局下达的《2021年产品质量市级监督抽查计划》，聚焦儿童、老年人、孕产妇等特殊群体用品，家用电器、装饰装修材料等日常消费品，化肥、水泥、电线电缆、消防安全等重要工业品，本所（中心）全年将完成520批次以上产品质量监督抽查检验工作。</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根据国家总局《深入推进口罩质量监管 促进口罩质量提升专项整治行动方案》、省局《关于认真做好春耕农资市场监管工作的通知》《关于开展钢筋产品质量专项检查的通知》《电线电缆质量安全“联查联打联治”专项行动方案》、市局《“年关守护”行动实施方案》《关于持续深入开展全市机动车（摩托车）、变型拖拉机及电动车集中整治行动方案》等文件要求，本所（中心）开展农资、钢筋、电动自行车、三轮车等10多个产品质量安全专项抽检工作。</w:t>
            </w:r>
          </w:p>
          <w:p>
            <w:pPr>
              <w:spacing w:line="560" w:lineRule="exact"/>
              <w:ind w:firstLine="640" w:firstLineChars="200"/>
              <w:rPr>
                <w:rStyle w:val="17"/>
                <w:rFonts w:ascii="仿宋_GB2312" w:hAnsi="仿宋_GB2312" w:eastAsia="仿宋_GB2312" w:cs="仿宋_GB2312"/>
                <w:sz w:val="32"/>
                <w:szCs w:val="32"/>
              </w:rPr>
            </w:pPr>
            <w:r>
              <w:rPr>
                <w:rFonts w:hint="eastAsia" w:ascii="仿宋_GB2312" w:hAnsi="仿宋_GB2312" w:eastAsia="仿宋_GB2312" w:cs="仿宋_GB2312"/>
                <w:sz w:val="32"/>
                <w:szCs w:val="32"/>
              </w:rPr>
              <w:t>产品质量监督抽查与专项抽查的有机结合，有效保障了我市产品质量安全，为企业提升产品质量提供依据，为市委市政府提供决策参考，为消费者平安健康、社会和谐保驾护航。</w:t>
            </w:r>
          </w:p>
          <w:p>
            <w:pPr>
              <w:spacing w:line="560" w:lineRule="exact"/>
              <w:ind w:firstLine="643" w:firstLineChars="200"/>
              <w:rPr>
                <w:rStyle w:val="17"/>
                <w:rFonts w:ascii="仿宋_GB2312" w:hAnsi="仿宋_GB2312" w:eastAsia="仿宋_GB2312" w:cs="仿宋_GB2312"/>
                <w:b/>
                <w:bCs/>
                <w:sz w:val="32"/>
                <w:szCs w:val="32"/>
              </w:rPr>
            </w:pPr>
            <w:r>
              <w:rPr>
                <w:rStyle w:val="17"/>
                <w:rFonts w:hint="eastAsia" w:ascii="仿宋_GB2312" w:hAnsi="仿宋_GB2312" w:eastAsia="仿宋_GB2312" w:cs="仿宋_GB2312"/>
                <w:b/>
                <w:bCs/>
                <w:sz w:val="32"/>
                <w:szCs w:val="32"/>
              </w:rPr>
              <w:t>（四）强服务，助力高质量发展</w:t>
            </w:r>
          </w:p>
          <w:p>
            <w:pPr>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党史学习教育最后的落脚点是“</w:t>
            </w:r>
            <w:r>
              <w:rPr>
                <w:rStyle w:val="17"/>
                <w:rFonts w:hint="eastAsia" w:ascii="仿宋_GB2312" w:hAnsi="仿宋_GB2312" w:eastAsia="仿宋_GB2312" w:cs="仿宋_GB2312"/>
                <w:color w:val="000000"/>
                <w:spacing w:val="15"/>
                <w:kern w:val="0"/>
                <w:sz w:val="32"/>
                <w:szCs w:val="32"/>
              </w:rPr>
              <w:t>办实事</w:t>
            </w:r>
            <w:r>
              <w:rPr>
                <w:rStyle w:val="17"/>
                <w:rFonts w:hint="eastAsia" w:ascii="仿宋_GB2312" w:hAnsi="仿宋_GB2312" w:eastAsia="仿宋_GB2312" w:cs="仿宋_GB2312"/>
                <w:sz w:val="32"/>
                <w:szCs w:val="32"/>
              </w:rPr>
              <w:t>”， 本所（中心）坚持党建引领，强化服务意识，深入开展“我为群众办实事 我为企业送服务”活动，</w:t>
            </w:r>
            <w:r>
              <w:rPr>
                <w:rFonts w:hint="eastAsia" w:ascii="仿宋_GB2312" w:hAnsi="仿宋_GB2312" w:eastAsia="仿宋_GB2312" w:cs="仿宋_GB2312"/>
                <w:color w:val="333333"/>
                <w:kern w:val="0"/>
                <w:sz w:val="32"/>
                <w:szCs w:val="32"/>
              </w:rPr>
              <w:t>把好事办实，把实事办好，以优质的服务、高超的技术赢得了良好口碑，得到了各界肯定。</w:t>
            </w:r>
          </w:p>
          <w:p>
            <w:pPr>
              <w:shd w:val="clear" w:color="auto" w:fill="FFFFFF"/>
              <w:spacing w:line="560" w:lineRule="exact"/>
              <w:ind w:firstLine="640" w:firstLineChars="200"/>
              <w:jc w:val="left"/>
              <w:rPr>
                <w:rStyle w:val="17"/>
                <w:rFonts w:ascii="仿宋_GB2312" w:hAnsi="仿宋_GB2312" w:eastAsia="仿宋_GB2312" w:cs="仿宋_GB2312"/>
                <w:sz w:val="32"/>
                <w:szCs w:val="32"/>
              </w:rPr>
            </w:pPr>
            <w:r>
              <w:rPr>
                <w:rFonts w:hint="eastAsia" w:ascii="仿宋_GB2312" w:hAnsi="仿宋_GB2312" w:eastAsia="仿宋_GB2312" w:cs="仿宋_GB2312"/>
                <w:sz w:val="32"/>
                <w:szCs w:val="32"/>
              </w:rPr>
              <w:t>军工电缆行业领军企业--</w:t>
            </w:r>
            <w:r>
              <w:rPr>
                <w:rStyle w:val="17"/>
                <w:rFonts w:hint="eastAsia" w:ascii="仿宋_GB2312" w:hAnsi="仿宋_GB2312" w:eastAsia="仿宋_GB2312" w:cs="仿宋_GB2312"/>
                <w:sz w:val="32"/>
                <w:szCs w:val="32"/>
              </w:rPr>
              <w:t>湘潭市特种线缆股份有限公司生产的“神猴”牌超高温电缆、超轻型导线、特控电缆组件等产品助攻火箭（天和核心舱）发射，是我们湘潭人的骄傲。本所（中心）秉承高度的责任心和政治使命感，与该公司签订战略合作协议，克服各项技术难题，为其</w:t>
            </w:r>
            <w:r>
              <w:rPr>
                <w:rFonts w:hint="eastAsia" w:ascii="仿宋_GB2312" w:hAnsi="仿宋_GB2312" w:eastAsia="仿宋_GB2312" w:cs="仿宋_GB2312"/>
                <w:sz w:val="32"/>
                <w:szCs w:val="32"/>
              </w:rPr>
              <w:t>研制生产的8个“神猴”系列16个规格的特种电缆新产品</w:t>
            </w:r>
            <w:r>
              <w:rPr>
                <w:rStyle w:val="17"/>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rPr>
              <w:t>试验验证并出具相关检验报告</w:t>
            </w:r>
            <w:r>
              <w:rPr>
                <w:rStyle w:val="17"/>
                <w:rFonts w:hint="eastAsia" w:ascii="仿宋_GB2312" w:hAnsi="仿宋_GB2312" w:eastAsia="仿宋_GB2312" w:cs="仿宋_GB2312"/>
                <w:sz w:val="32"/>
                <w:szCs w:val="32"/>
              </w:rPr>
              <w:t>。</w:t>
            </w:r>
          </w:p>
          <w:p>
            <w:pPr>
              <w:spacing w:line="560" w:lineRule="exact"/>
              <w:ind w:firstLine="640" w:firstLineChars="200"/>
              <w:rPr>
                <w:rStyle w:val="17"/>
                <w:rFonts w:ascii="仿宋_GB2312" w:hAnsi="仿宋_GB2312" w:eastAsia="仿宋_GB2312" w:cs="仿宋_GB2312"/>
                <w:sz w:val="32"/>
                <w:szCs w:val="32"/>
              </w:rPr>
            </w:pPr>
            <w:r>
              <w:rPr>
                <w:rFonts w:hint="eastAsia" w:ascii="仿宋_GB2312" w:hAnsi="仿宋_GB2312" w:eastAsia="仿宋_GB2312" w:cs="仿宋_GB2312"/>
                <w:kern w:val="0"/>
                <w:sz w:val="32"/>
                <w:szCs w:val="32"/>
              </w:rPr>
              <w:t>湘电集团有限公司作为机电行业龙头企业，本所（中心）受其委托抽</w:t>
            </w:r>
            <w:r>
              <w:rPr>
                <w:rFonts w:hint="eastAsia" w:ascii="仿宋_GB2312" w:hAnsi="仿宋_GB2312" w:eastAsia="仿宋_GB2312" w:cs="仿宋_GB2312"/>
                <w:sz w:val="32"/>
                <w:szCs w:val="32"/>
              </w:rPr>
              <w:t>调精干力量赴内蒙古呼伦贝尔市大雁镇开展“百吨级电传动矿用自卸车”关键部件的疲劳测试工作。首次获取了实际工况下电传动矿用自卸车关键部件的应力应变数据，为后续“百吨级电传动矿用自卸车”关键部件的疲劳研究提供了坚实的数据支撑；赴内蒙古通辽市霍林郭勒市南露天煤矿，对目前全球唯一研制成功并投产的“百吨级纯电交流传动矿用自卸车”进行第三方全方位性能参数检测，使该车正式交付并投入使用。这拉开了我国矿用重装进入“新能源时代”序幕，标志着我国在百吨级纯电矿用自卸车领域达到世界领先水平。</w:t>
            </w:r>
          </w:p>
          <w:p>
            <w:pPr>
              <w:spacing w:line="560" w:lineRule="exact"/>
              <w:ind w:firstLine="640" w:firstLineChars="200"/>
              <w:rPr>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湘潭江麓精密机械有限公司在申请高新技术企业资质过程中，因产品缺乏权威性检验检测报告而停滞不前时，本所（中心）立即派出正高级工程师带队的技术团队，为该产品开展全面的检验检测工作，并提供全方位技术支持；</w:t>
            </w:r>
            <w:r>
              <w:rPr>
                <w:rFonts w:hint="eastAsia" w:ascii="仿宋_GB2312" w:hAnsi="仿宋_GB2312" w:eastAsia="仿宋_GB2312" w:cs="仿宋_GB2312"/>
                <w:color w:val="333333"/>
                <w:kern w:val="0"/>
                <w:sz w:val="32"/>
                <w:szCs w:val="32"/>
              </w:rPr>
              <w:t>湖南九华石油科技有限公司</w:t>
            </w:r>
            <w:r>
              <w:rPr>
                <w:rFonts w:hint="eastAsia" w:ascii="仿宋_GB2312" w:hAnsi="仿宋_GB2312" w:eastAsia="仿宋_GB2312" w:cs="仿宋_GB2312"/>
                <w:color w:val="333333"/>
                <w:sz w:val="32"/>
                <w:szCs w:val="32"/>
              </w:rPr>
              <w:t>遭遇</w:t>
            </w:r>
            <w:r>
              <w:rPr>
                <w:rFonts w:hint="eastAsia" w:ascii="仿宋_GB2312" w:hAnsi="仿宋_GB2312" w:eastAsia="仿宋_GB2312" w:cs="仿宋_GB2312"/>
                <w:color w:val="333333"/>
                <w:kern w:val="0"/>
                <w:sz w:val="32"/>
                <w:szCs w:val="32"/>
              </w:rPr>
              <w:t>产品技术研发瓶颈时</w:t>
            </w:r>
            <w:r>
              <w:rPr>
                <w:rFonts w:hint="eastAsia" w:ascii="仿宋_GB2312" w:hAnsi="仿宋_GB2312" w:eastAsia="仿宋_GB2312" w:cs="仿宋_GB2312"/>
                <w:color w:val="333333"/>
                <w:sz w:val="32"/>
                <w:szCs w:val="32"/>
              </w:rPr>
              <w:t>，</w:t>
            </w:r>
            <w:r>
              <w:rPr>
                <w:rStyle w:val="17"/>
                <w:rFonts w:hint="eastAsia" w:ascii="仿宋_GB2312" w:hAnsi="仿宋_GB2312" w:eastAsia="仿宋_GB2312" w:cs="仿宋_GB2312"/>
                <w:sz w:val="32"/>
                <w:szCs w:val="32"/>
              </w:rPr>
              <w:t>本所（中心）技术团队</w:t>
            </w:r>
            <w:r>
              <w:rPr>
                <w:rFonts w:hint="eastAsia" w:ascii="仿宋_GB2312" w:hAnsi="仿宋_GB2312" w:eastAsia="仿宋_GB2312" w:cs="仿宋_GB2312"/>
                <w:color w:val="333333"/>
                <w:kern w:val="0"/>
                <w:sz w:val="32"/>
                <w:szCs w:val="32"/>
              </w:rPr>
              <w:t>主动对接，为其开展产品质量检验检测，并对试验室建设、产品质量提升进行技术指导等；</w:t>
            </w:r>
            <w:r>
              <w:rPr>
                <w:rStyle w:val="17"/>
                <w:rFonts w:hint="eastAsia" w:ascii="仿宋_GB2312" w:hAnsi="仿宋_GB2312" w:eastAsia="仿宋_GB2312" w:cs="仿宋_GB2312"/>
                <w:sz w:val="32"/>
                <w:szCs w:val="32"/>
              </w:rPr>
              <w:t>为贯彻落实优化营商环境政策，本所（中心）还对湘潭市电机车厂有限公司、湖南南电电气有限公司、湖南海立美达钢板加工配送有限公司等多家企业开展免费的技术指导和检验检测服务。截至目前，共受理各类产品委托检验378批次，开展室内空气检测服务42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冠疫情反弹期间，本所（中心）在做好自身疫情防控的同时，组织配制大量75%消毒酒精，为疫情防控工作人员提供物资保障；加强口罩等防疫用品治理，促进口罩行业质量稳步发展，服务常态化疫情防控工作；安排干部职工驻双马街道协助开展重点人群排查、疫苗接种情况、健康监测、健康教育宣传等工作；</w:t>
            </w:r>
            <w:r>
              <w:rPr>
                <w:rStyle w:val="17"/>
                <w:rFonts w:hint="eastAsia" w:ascii="仿宋_GB2312" w:hAnsi="仿宋_GB2312" w:eastAsia="仿宋_GB2312" w:cs="仿宋_GB2312"/>
                <w:sz w:val="32"/>
                <w:szCs w:val="32"/>
              </w:rPr>
              <w:t>推进槟榔产业转型升级是市委市政府2021年重点工作之一，我所支部书记作为专家被抽调到市槟榔办支持该项工作；</w:t>
            </w:r>
            <w:r>
              <w:rPr>
                <w:rFonts w:hint="eastAsia" w:ascii="仿宋_GB2312" w:hAnsi="仿宋_GB2312" w:eastAsia="仿宋_GB2312" w:cs="仿宋_GB2312"/>
                <w:sz w:val="32"/>
                <w:szCs w:val="32"/>
              </w:rPr>
              <w:t>本所（中心）还选派享受湖南省政府津贴的技术人员作为湘潭市高新区科技特派员，为园区提供科技服务工作；</w:t>
            </w:r>
            <w:r>
              <w:rPr>
                <w:rStyle w:val="17"/>
                <w:rFonts w:hint="eastAsia" w:ascii="仿宋_GB2312" w:hAnsi="仿宋_GB2312" w:eastAsia="仿宋_GB2312" w:cs="仿宋_GB2312"/>
                <w:sz w:val="32"/>
                <w:szCs w:val="32"/>
              </w:rPr>
              <w:t>根据《关于做好文明城市迎省检相关工作的通知》，取消周末休假，对吉利社区超市、餐饮店等开展巡查工作；根据《湘潭市精准脱贫行动“干群一家亲，党群心连心”帮扶活动工作方案》，组织干部职工对雨湖区新泉村8户结对帮扶家庭进行走访慰问，不断巩固脱贫攻坚成果和开展农村人居环境整治；</w:t>
            </w:r>
            <w:r>
              <w:rPr>
                <w:rFonts w:hint="eastAsia" w:ascii="仿宋_GB2312" w:hAnsi="仿宋_GB2312" w:eastAsia="仿宋_GB2312" w:cs="仿宋_GB2312"/>
                <w:sz w:val="32"/>
                <w:szCs w:val="32"/>
              </w:rPr>
              <w:t>根据上级统一部署和安排，积极参加社区“联点共建”志愿者活动、义务献血、</w:t>
            </w:r>
            <w:r>
              <w:rPr>
                <w:rStyle w:val="17"/>
                <w:rFonts w:hint="eastAsia" w:ascii="仿宋_GB2312" w:hAnsi="仿宋_GB2312" w:eastAsia="仿宋_GB2312" w:cs="仿宋_GB2312"/>
                <w:sz w:val="32"/>
                <w:szCs w:val="32"/>
              </w:rPr>
              <w:t>第六届“万步有约”健走激励大赛、第十三届运动会</w:t>
            </w:r>
            <w:r>
              <w:rPr>
                <w:rFonts w:hint="eastAsia" w:ascii="仿宋_GB2312" w:hAnsi="仿宋_GB2312" w:eastAsia="仿宋_GB2312" w:cs="仿宋_GB2312"/>
                <w:sz w:val="32"/>
                <w:szCs w:val="32"/>
              </w:rPr>
              <w:t>等，为平安湘潭、大美湘潭贡献力量。</w:t>
            </w:r>
          </w:p>
          <w:p>
            <w:pPr>
              <w:snapToGrid w:val="0"/>
              <w:spacing w:line="560" w:lineRule="exact"/>
              <w:ind w:firstLine="640" w:firstLineChars="200"/>
              <w:rPr>
                <w:rStyle w:val="17"/>
                <w:rFonts w:ascii="仿宋_GB2312" w:hAnsi="仿宋_GB2312" w:eastAsia="仿宋_GB2312" w:cs="仿宋_GB2312"/>
                <w:sz w:val="32"/>
                <w:szCs w:val="32"/>
              </w:rPr>
            </w:pPr>
            <w:r>
              <w:rPr>
                <w:rStyle w:val="17"/>
                <w:rFonts w:hint="eastAsia" w:ascii="仿宋_GB2312" w:hAnsi="仿宋_GB2312" w:eastAsia="仿宋_GB2312" w:cs="仿宋_GB2312"/>
                <w:sz w:val="32"/>
                <w:szCs w:val="32"/>
              </w:rPr>
              <w:t>本所（中心）结合工作职能及专业优势，深入基层、了解民意，找准突出问题，拿出务实管用的举措，切实解决实际问题，先后收到湘潭市特种线缆股份有限公司、</w:t>
            </w:r>
            <w:r>
              <w:rPr>
                <w:rFonts w:hint="eastAsia" w:ascii="仿宋_GB2312" w:hAnsi="仿宋_GB2312" w:eastAsia="仿宋_GB2312" w:cs="仿宋_GB2312"/>
                <w:color w:val="333333"/>
                <w:kern w:val="0"/>
                <w:sz w:val="32"/>
                <w:szCs w:val="32"/>
              </w:rPr>
              <w:t>湖南九华石油科技有限公司等送来的感谢锦旗；</w:t>
            </w:r>
            <w:r>
              <w:rPr>
                <w:rStyle w:val="17"/>
                <w:rFonts w:hint="eastAsia" w:ascii="仿宋_GB2312" w:hAnsi="仿宋_GB2312" w:eastAsia="仿宋_GB2312" w:cs="仿宋_GB2312"/>
                <w:sz w:val="32"/>
                <w:szCs w:val="32"/>
              </w:rPr>
              <w:t>与桃李社区建立“跑小二”党员志愿服务站，精准服务解企忧事例在九华新闻网、湘潭日报上相继报道。</w:t>
            </w:r>
          </w:p>
          <w:p>
            <w:pPr>
              <w:pStyle w:val="7"/>
              <w:shd w:val="clear" w:color="auto" w:fill="FFFFFF"/>
              <w:spacing w:before="0" w:beforeAutospacing="0" w:after="0" w:afterAutospacing="0" w:line="540" w:lineRule="exact"/>
              <w:ind w:firstLine="640"/>
              <w:jc w:val="both"/>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atLeast"/>
          <w:jc w:val="center"/>
        </w:trPr>
        <w:tc>
          <w:tcPr>
            <w:tcW w:w="624" w:type="dxa"/>
            <w:vMerge w:val="restart"/>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存在的问题分析及改进措施</w:t>
            </w: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存在的问题</w:t>
            </w:r>
          </w:p>
        </w:tc>
        <w:tc>
          <w:tcPr>
            <w:tcW w:w="6917" w:type="dxa"/>
            <w:vAlign w:val="center"/>
          </w:tcPr>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1、因检验检测业务需要，每年进行设备更新、改造、更替，2021年采购专用设备253.90万元，结余资金购置设备130.86万元。</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2、</w:t>
            </w:r>
            <w:r>
              <w:rPr>
                <w:rFonts w:hint="eastAsia" w:ascii="仿宋_GB2312" w:eastAsia="仿宋_GB2312" w:cs="仿宋"/>
                <w:sz w:val="32"/>
                <w:szCs w:val="32"/>
              </w:rPr>
              <w:t>因湘潭市工矿电传动车辆质量监督中心为公益二类，年初</w:t>
            </w:r>
            <w:r>
              <w:rPr>
                <w:rFonts w:ascii="仿宋_GB2312" w:eastAsia="仿宋_GB2312" w:cs="仿宋"/>
                <w:sz w:val="32"/>
                <w:szCs w:val="32"/>
              </w:rPr>
              <w:t>预算</w:t>
            </w:r>
            <w:r>
              <w:rPr>
                <w:rFonts w:hint="eastAsia" w:ascii="仿宋_GB2312" w:eastAsia="仿宋_GB2312" w:cs="仿宋"/>
                <w:sz w:val="32"/>
                <w:szCs w:val="32"/>
              </w:rPr>
              <w:t>项目经费中包含部分人员经费。实际支付时，人员基本工资35</w:t>
            </w:r>
            <w:r>
              <w:rPr>
                <w:rFonts w:ascii="仿宋_GB2312" w:eastAsia="仿宋_GB2312" w:cs="仿宋"/>
                <w:sz w:val="32"/>
                <w:szCs w:val="32"/>
              </w:rPr>
              <w:t>.</w:t>
            </w:r>
            <w:r>
              <w:rPr>
                <w:rFonts w:hint="eastAsia" w:ascii="仿宋_GB2312" w:eastAsia="仿宋_GB2312" w:cs="仿宋"/>
                <w:sz w:val="32"/>
                <w:szCs w:val="32"/>
              </w:rPr>
              <w:t>70万元计入基本支出。</w:t>
            </w:r>
          </w:p>
          <w:p>
            <w:pPr>
              <w:spacing w:line="540" w:lineRule="exact"/>
              <w:ind w:firstLine="640" w:firstLineChars="200"/>
              <w:rPr>
                <w:rFonts w:ascii="仿宋_GB2312"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624"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改进</w:t>
            </w:r>
          </w:p>
          <w:p>
            <w:pPr>
              <w:spacing w:line="540" w:lineRule="exact"/>
              <w:jc w:val="center"/>
              <w:rPr>
                <w:rFonts w:ascii="仿宋_GB2312" w:eastAsia="仿宋_GB2312" w:cs="宋体"/>
                <w:sz w:val="32"/>
                <w:szCs w:val="32"/>
              </w:rPr>
            </w:pPr>
            <w:r>
              <w:rPr>
                <w:rFonts w:hint="eastAsia" w:ascii="仿宋_GB2312" w:eastAsia="仿宋_GB2312" w:cs="宋体"/>
                <w:sz w:val="32"/>
                <w:szCs w:val="32"/>
              </w:rPr>
              <w:t>措施</w:t>
            </w:r>
          </w:p>
        </w:tc>
        <w:tc>
          <w:tcPr>
            <w:tcW w:w="6917" w:type="dxa"/>
            <w:vAlign w:val="center"/>
          </w:tcPr>
          <w:p>
            <w:pPr>
              <w:ind w:firstLine="640" w:firstLineChars="200"/>
              <w:rPr>
                <w:rFonts w:ascii="仿宋_GB2312" w:eastAsia="仿宋_GB2312" w:cs="仿宋"/>
                <w:sz w:val="32"/>
                <w:szCs w:val="32"/>
              </w:rPr>
            </w:pPr>
            <w:r>
              <w:rPr>
                <w:rFonts w:hint="eastAsia" w:ascii="仿宋_GB2312" w:eastAsia="仿宋_GB2312" w:cs="仿宋"/>
                <w:sz w:val="32"/>
                <w:szCs w:val="32"/>
              </w:rPr>
              <w:t>1、科学合理编制预算，严格执行预算，提高资金使用效率。</w:t>
            </w:r>
          </w:p>
          <w:p>
            <w:pPr>
              <w:ind w:firstLine="640" w:firstLineChars="200"/>
              <w:rPr>
                <w:rFonts w:ascii="仿宋_GB2312" w:eastAsia="仿宋_GB2312" w:cs="仿宋"/>
                <w:sz w:val="32"/>
                <w:szCs w:val="32"/>
              </w:rPr>
            </w:pPr>
            <w:r>
              <w:rPr>
                <w:rFonts w:hint="eastAsia" w:ascii="仿宋_GB2312" w:eastAsia="仿宋_GB2312" w:cs="仿宋"/>
                <w:sz w:val="32"/>
                <w:szCs w:val="32"/>
              </w:rPr>
              <w:t>2、加快项目资金预算执行进度，减少专项资金结转结余。</w:t>
            </w:r>
          </w:p>
          <w:p>
            <w:pPr>
              <w:spacing w:line="540" w:lineRule="exact"/>
              <w:ind w:firstLine="640" w:firstLineChars="200"/>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624" w:type="dxa"/>
            <w:vMerge w:val="continue"/>
          </w:tcPr>
          <w:p>
            <w:pPr>
              <w:spacing w:line="540" w:lineRule="exact"/>
              <w:rPr>
                <w:rFonts w:ascii="仿宋_GB2312" w:eastAsia="仿宋_GB2312"/>
                <w:sz w:val="32"/>
                <w:szCs w:val="32"/>
              </w:rPr>
            </w:pPr>
          </w:p>
        </w:tc>
        <w:tc>
          <w:tcPr>
            <w:tcW w:w="1276" w:type="dxa"/>
            <w:vAlign w:val="center"/>
          </w:tcPr>
          <w:p>
            <w:pPr>
              <w:spacing w:line="540" w:lineRule="exact"/>
              <w:jc w:val="center"/>
              <w:rPr>
                <w:rFonts w:ascii="仿宋_GB2312" w:eastAsia="仿宋_GB2312" w:cs="宋体"/>
                <w:sz w:val="32"/>
                <w:szCs w:val="32"/>
              </w:rPr>
            </w:pPr>
            <w:r>
              <w:rPr>
                <w:rFonts w:hint="eastAsia" w:ascii="仿宋_GB2312" w:eastAsia="仿宋_GB2312" w:cs="宋体"/>
                <w:sz w:val="32"/>
                <w:szCs w:val="32"/>
              </w:rPr>
              <w:t>其他需要说明问题</w:t>
            </w:r>
          </w:p>
        </w:tc>
        <w:tc>
          <w:tcPr>
            <w:tcW w:w="6917" w:type="dxa"/>
            <w:vAlign w:val="center"/>
          </w:tcPr>
          <w:p>
            <w:pPr>
              <w:spacing w:line="540" w:lineRule="exact"/>
              <w:ind w:right="880" w:rightChars="419"/>
              <w:jc w:val="center"/>
              <w:rPr>
                <w:rFonts w:ascii="仿宋_GB2312" w:eastAsia="仿宋_GB2312" w:cs="宋体"/>
                <w:sz w:val="32"/>
                <w:szCs w:val="32"/>
              </w:rPr>
            </w:pPr>
            <w:r>
              <w:rPr>
                <w:rFonts w:hint="eastAsia" w:ascii="仿宋_GB2312" w:eastAsia="仿宋_GB2312" w:cs="宋体"/>
                <w:sz w:val="32"/>
                <w:szCs w:val="32"/>
              </w:rPr>
              <w:t>无</w:t>
            </w:r>
          </w:p>
        </w:tc>
      </w:tr>
    </w:tbl>
    <w:p>
      <w:pPr>
        <w:spacing w:line="540" w:lineRule="exact"/>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607121"/>
    </w:sdtPr>
    <w:sdtContent>
      <w:p>
        <w:pPr>
          <w:pStyle w:val="5"/>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gxNzE2YTNkOTgzZTA0Zjg5NjZlYTIwZjg1NTEyNzYifQ=="/>
  </w:docVars>
  <w:rsids>
    <w:rsidRoot w:val="00574244"/>
    <w:rsid w:val="00041263"/>
    <w:rsid w:val="000A44E3"/>
    <w:rsid w:val="000D4598"/>
    <w:rsid w:val="000F09BD"/>
    <w:rsid w:val="00113C77"/>
    <w:rsid w:val="00181651"/>
    <w:rsid w:val="0019194F"/>
    <w:rsid w:val="001F1808"/>
    <w:rsid w:val="001F3047"/>
    <w:rsid w:val="001F53F5"/>
    <w:rsid w:val="001F58B6"/>
    <w:rsid w:val="00231E08"/>
    <w:rsid w:val="002475E2"/>
    <w:rsid w:val="00264A69"/>
    <w:rsid w:val="002728F7"/>
    <w:rsid w:val="002B1BE8"/>
    <w:rsid w:val="002B38F7"/>
    <w:rsid w:val="00331524"/>
    <w:rsid w:val="00333496"/>
    <w:rsid w:val="00335CCA"/>
    <w:rsid w:val="00337C49"/>
    <w:rsid w:val="00356871"/>
    <w:rsid w:val="00384CE8"/>
    <w:rsid w:val="00387484"/>
    <w:rsid w:val="003B2EE7"/>
    <w:rsid w:val="003C06A7"/>
    <w:rsid w:val="003D7800"/>
    <w:rsid w:val="003E17A4"/>
    <w:rsid w:val="003E6025"/>
    <w:rsid w:val="00460F82"/>
    <w:rsid w:val="004816E0"/>
    <w:rsid w:val="004A1F34"/>
    <w:rsid w:val="004E0C43"/>
    <w:rsid w:val="004E133C"/>
    <w:rsid w:val="004F4EAF"/>
    <w:rsid w:val="004F754C"/>
    <w:rsid w:val="0056055A"/>
    <w:rsid w:val="00574244"/>
    <w:rsid w:val="005D5ECC"/>
    <w:rsid w:val="0064461F"/>
    <w:rsid w:val="006854D3"/>
    <w:rsid w:val="00701C77"/>
    <w:rsid w:val="007102DC"/>
    <w:rsid w:val="00772C94"/>
    <w:rsid w:val="007C28AE"/>
    <w:rsid w:val="007D0B74"/>
    <w:rsid w:val="00812DA0"/>
    <w:rsid w:val="00846F96"/>
    <w:rsid w:val="008744FF"/>
    <w:rsid w:val="008A423A"/>
    <w:rsid w:val="008D62A1"/>
    <w:rsid w:val="008E0BE4"/>
    <w:rsid w:val="008F7122"/>
    <w:rsid w:val="009304A9"/>
    <w:rsid w:val="00961657"/>
    <w:rsid w:val="009F1B32"/>
    <w:rsid w:val="00A65652"/>
    <w:rsid w:val="00AE06A0"/>
    <w:rsid w:val="00B47D55"/>
    <w:rsid w:val="00B714C7"/>
    <w:rsid w:val="00B73D4D"/>
    <w:rsid w:val="00B96CD1"/>
    <w:rsid w:val="00C244E4"/>
    <w:rsid w:val="00C37719"/>
    <w:rsid w:val="00C53094"/>
    <w:rsid w:val="00CB5F5D"/>
    <w:rsid w:val="00CB78BA"/>
    <w:rsid w:val="00CE6500"/>
    <w:rsid w:val="00D032D7"/>
    <w:rsid w:val="00D246AD"/>
    <w:rsid w:val="00D276C7"/>
    <w:rsid w:val="00D33856"/>
    <w:rsid w:val="00D33B98"/>
    <w:rsid w:val="00D65D25"/>
    <w:rsid w:val="00D81F33"/>
    <w:rsid w:val="00E84CC3"/>
    <w:rsid w:val="00F666E7"/>
    <w:rsid w:val="034E2A54"/>
    <w:rsid w:val="035644BB"/>
    <w:rsid w:val="14043A28"/>
    <w:rsid w:val="1A6F13AF"/>
    <w:rsid w:val="26987D47"/>
    <w:rsid w:val="286D1FB1"/>
    <w:rsid w:val="5C0D64C8"/>
    <w:rsid w:val="5C531AC4"/>
    <w:rsid w:val="5E46567D"/>
    <w:rsid w:val="5F37754E"/>
    <w:rsid w:val="606F61C6"/>
    <w:rsid w:val="72F60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Plain Text"/>
    <w:basedOn w:val="1"/>
    <w:link w:val="10"/>
    <w:unhideWhenUsed/>
    <w:qFormat/>
    <w:uiPriority w:val="0"/>
    <w:rPr>
      <w:rFonts w:ascii="宋体" w:hAnsi="Courier New" w:cs="Courier New"/>
      <w:sz w:val="32"/>
      <w:szCs w:val="21"/>
    </w:rPr>
  </w:style>
  <w:style w:type="paragraph" w:styleId="3">
    <w:name w:val="Body Text Indent 2"/>
    <w:basedOn w:val="1"/>
    <w:link w:val="11"/>
    <w:unhideWhenUsed/>
    <w:qFormat/>
    <w:uiPriority w:val="0"/>
    <w:pPr>
      <w:spacing w:before="312" w:beforeLines="100"/>
      <w:ind w:firstLine="560" w:firstLineChars="200"/>
    </w:pPr>
    <w:rPr>
      <w:sz w:val="28"/>
      <w:szCs w:val="20"/>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2"/>
    <w:qFormat/>
    <w:uiPriority w:val="0"/>
    <w:rPr>
      <w:rFonts w:ascii="宋体" w:hAnsi="Courier New" w:eastAsia="宋体" w:cs="Courier New"/>
      <w:sz w:val="32"/>
      <w:szCs w:val="21"/>
    </w:rPr>
  </w:style>
  <w:style w:type="character" w:customStyle="1" w:styleId="11">
    <w:name w:val="正文文本缩进 2 字符"/>
    <w:basedOn w:val="9"/>
    <w:link w:val="3"/>
    <w:qFormat/>
    <w:uiPriority w:val="99"/>
    <w:rPr>
      <w:rFonts w:ascii="Times New Roman" w:hAnsi="Times New Roman" w:eastAsia="宋体" w:cs="Times New Roman"/>
      <w:sz w:val="28"/>
      <w:szCs w:val="20"/>
    </w:rPr>
  </w:style>
  <w:style w:type="character" w:customStyle="1" w:styleId="12">
    <w:name w:val="页眉 字符"/>
    <w:basedOn w:val="9"/>
    <w:link w:val="6"/>
    <w:qFormat/>
    <w:uiPriority w:val="99"/>
    <w:rPr>
      <w:rFonts w:ascii="Times New Roman" w:hAnsi="Times New Roman" w:eastAsia="宋体" w:cs="Times New Roman"/>
      <w:sz w:val="18"/>
      <w:szCs w:val="18"/>
    </w:rPr>
  </w:style>
  <w:style w:type="character" w:customStyle="1" w:styleId="13">
    <w:name w:val="页脚 字符"/>
    <w:basedOn w:val="9"/>
    <w:link w:val="5"/>
    <w:qFormat/>
    <w:uiPriority w:val="99"/>
    <w:rPr>
      <w:rFonts w:ascii="Times New Roman" w:hAnsi="Times New Roman" w:eastAsia="宋体" w:cs="Times New Roman"/>
      <w:sz w:val="18"/>
      <w:szCs w:val="18"/>
    </w:rPr>
  </w:style>
  <w:style w:type="character" w:customStyle="1" w:styleId="14">
    <w:name w:val="批注框文本 字符"/>
    <w:basedOn w:val="9"/>
    <w:link w:val="4"/>
    <w:semiHidden/>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6">
    <w:name w:val="BodyTextIndent2"/>
    <w:basedOn w:val="1"/>
    <w:qFormat/>
    <w:uiPriority w:val="0"/>
    <w:pPr>
      <w:spacing w:before="312"/>
      <w:ind w:firstLine="560" w:firstLineChars="200"/>
    </w:pPr>
    <w:rPr>
      <w:sz w:val="28"/>
      <w:szCs w:val="20"/>
    </w:rPr>
  </w:style>
  <w:style w:type="character" w:customStyle="1" w:styleId="1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15</Pages>
  <Words>6242</Words>
  <Characters>6651</Characters>
  <Lines>48</Lines>
  <Paragraphs>13</Paragraphs>
  <TotalTime>2</TotalTime>
  <ScaleCrop>false</ScaleCrop>
  <LinksUpToDate>false</LinksUpToDate>
  <CharactersWithSpaces>6662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2020-05-09T01:03:00Z</dcterms:created>
  <dc:creator>Windows User</dc:creator>
  <cp:lastModifiedBy>Administrator</cp:lastModifiedBy>
  <cp:lastPrinted>2020-05-20T07:26:00Z</cp:lastPrinted>
  <dcterms:modified xsi:type="dcterms:W3CDTF">2023-09-15T01:15:09Z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CA8F561D53F94E21A96DE643785AC8F3_13</vt:lpwstr>
  </property>
</Properties>
</file>